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2A7D93" w14:textId="1FAF12CF" w:rsidR="00C916C8" w:rsidRPr="005D1100" w:rsidRDefault="00C916C8" w:rsidP="00C916C8">
      <w:pPr>
        <w:rPr>
          <w:lang w:val="en-US"/>
        </w:rPr>
      </w:pPr>
      <w:r w:rsidRPr="005D1100">
        <w:rPr>
          <w:lang w:val="en-US"/>
        </w:rPr>
        <w:t>Supplementary Table 1: Embase</w:t>
      </w:r>
      <w:r w:rsidR="005D1100" w:rsidRPr="005D1100">
        <w:rPr>
          <w:lang w:val="en-US"/>
        </w:rPr>
        <w:t xml:space="preserve"> Search S</w:t>
      </w:r>
      <w:r w:rsidR="005D1100">
        <w:rPr>
          <w:lang w:val="en-US"/>
        </w:rPr>
        <w:t>trategy</w:t>
      </w:r>
    </w:p>
    <w:tbl>
      <w:tblPr>
        <w:tblW w:w="9497" w:type="dxa"/>
        <w:tblInd w:w="137" w:type="dxa"/>
        <w:tblCellMar>
          <w:left w:w="70" w:type="dxa"/>
          <w:right w:w="70" w:type="dxa"/>
        </w:tblCellMar>
        <w:tblLook w:val="04A0" w:firstRow="1" w:lastRow="0" w:firstColumn="1" w:lastColumn="0" w:noHBand="0" w:noVBand="1"/>
      </w:tblPr>
      <w:tblGrid>
        <w:gridCol w:w="682"/>
        <w:gridCol w:w="7398"/>
        <w:gridCol w:w="1417"/>
      </w:tblGrid>
      <w:tr w:rsidR="00C916C8" w:rsidRPr="001832E9" w14:paraId="66EDDC39" w14:textId="77777777" w:rsidTr="008D4E13">
        <w:trPr>
          <w:trHeight w:val="293"/>
          <w:tblHeader/>
        </w:trPr>
        <w:tc>
          <w:tcPr>
            <w:tcW w:w="682" w:type="dxa"/>
            <w:tcBorders>
              <w:top w:val="single" w:sz="4" w:space="0" w:color="auto"/>
              <w:left w:val="single" w:sz="4" w:space="0" w:color="auto"/>
              <w:bottom w:val="single" w:sz="4" w:space="0" w:color="auto"/>
              <w:right w:val="single" w:sz="4" w:space="0" w:color="auto"/>
            </w:tcBorders>
            <w:noWrap/>
            <w:vAlign w:val="center"/>
          </w:tcPr>
          <w:p w14:paraId="243F864E" w14:textId="77777777" w:rsidR="00C916C8" w:rsidRPr="001832E9" w:rsidRDefault="00C916C8" w:rsidP="008D4E13">
            <w:pPr>
              <w:rPr>
                <w:rFonts w:cstheme="minorHAnsi"/>
                <w:b/>
                <w:bCs/>
                <w:sz w:val="21"/>
                <w:szCs w:val="20"/>
              </w:rPr>
            </w:pPr>
            <w:r w:rsidRPr="001832E9">
              <w:rPr>
                <w:rFonts w:cstheme="minorHAnsi"/>
                <w:b/>
                <w:bCs/>
                <w:sz w:val="21"/>
                <w:szCs w:val="20"/>
              </w:rPr>
              <w:t>#</w:t>
            </w:r>
          </w:p>
        </w:tc>
        <w:tc>
          <w:tcPr>
            <w:tcW w:w="7398" w:type="dxa"/>
            <w:tcBorders>
              <w:top w:val="single" w:sz="4" w:space="0" w:color="auto"/>
              <w:left w:val="nil"/>
              <w:bottom w:val="single" w:sz="4" w:space="0" w:color="auto"/>
              <w:right w:val="single" w:sz="4" w:space="0" w:color="auto"/>
            </w:tcBorders>
            <w:noWrap/>
            <w:vAlign w:val="center"/>
          </w:tcPr>
          <w:p w14:paraId="34102DFD" w14:textId="77777777" w:rsidR="00C916C8" w:rsidRPr="001832E9" w:rsidRDefault="00C916C8" w:rsidP="008D4E13">
            <w:pPr>
              <w:jc w:val="left"/>
              <w:rPr>
                <w:rFonts w:cstheme="minorHAnsi"/>
                <w:b/>
                <w:bCs/>
                <w:sz w:val="21"/>
                <w:szCs w:val="20"/>
              </w:rPr>
            </w:pPr>
            <w:r w:rsidRPr="001832E9">
              <w:rPr>
                <w:rFonts w:cstheme="minorHAnsi"/>
                <w:b/>
                <w:bCs/>
                <w:sz w:val="21"/>
                <w:szCs w:val="20"/>
              </w:rPr>
              <w:t>Search in EMBASE</w:t>
            </w:r>
          </w:p>
        </w:tc>
        <w:tc>
          <w:tcPr>
            <w:tcW w:w="1417" w:type="dxa"/>
            <w:tcBorders>
              <w:top w:val="single" w:sz="4" w:space="0" w:color="auto"/>
              <w:left w:val="nil"/>
              <w:bottom w:val="single" w:sz="4" w:space="0" w:color="auto"/>
              <w:right w:val="single" w:sz="4" w:space="0" w:color="auto"/>
            </w:tcBorders>
            <w:noWrap/>
            <w:vAlign w:val="center"/>
          </w:tcPr>
          <w:p w14:paraId="6BC1051B" w14:textId="77777777" w:rsidR="00C916C8" w:rsidRPr="001832E9" w:rsidRDefault="00C916C8" w:rsidP="008D4E13">
            <w:pPr>
              <w:rPr>
                <w:rFonts w:cstheme="minorHAnsi"/>
                <w:sz w:val="21"/>
                <w:szCs w:val="20"/>
              </w:rPr>
            </w:pPr>
            <w:r w:rsidRPr="001832E9">
              <w:rPr>
                <w:rFonts w:cstheme="minorHAnsi"/>
                <w:sz w:val="21"/>
                <w:szCs w:val="20"/>
              </w:rPr>
              <w:t>Ergebnis</w:t>
            </w:r>
          </w:p>
        </w:tc>
      </w:tr>
      <w:tr w:rsidR="00C916C8" w:rsidRPr="001832E9" w14:paraId="45AB9614" w14:textId="77777777" w:rsidTr="008D4E13">
        <w:trPr>
          <w:trHeight w:val="293"/>
        </w:trPr>
        <w:tc>
          <w:tcPr>
            <w:tcW w:w="682" w:type="dxa"/>
            <w:tcBorders>
              <w:top w:val="single" w:sz="4" w:space="0" w:color="auto"/>
              <w:left w:val="single" w:sz="4" w:space="0" w:color="auto"/>
              <w:bottom w:val="single" w:sz="4" w:space="0" w:color="auto"/>
              <w:right w:val="single" w:sz="4" w:space="0" w:color="auto"/>
            </w:tcBorders>
            <w:noWrap/>
          </w:tcPr>
          <w:p w14:paraId="4E265F3B" w14:textId="77777777" w:rsidR="00C916C8" w:rsidRPr="001832E9" w:rsidRDefault="00C916C8" w:rsidP="008D4E13">
            <w:pPr>
              <w:rPr>
                <w:rFonts w:cstheme="minorHAnsi"/>
                <w:sz w:val="21"/>
                <w:szCs w:val="20"/>
              </w:rPr>
            </w:pPr>
            <w:r w:rsidRPr="001832E9">
              <w:rPr>
                <w:rFonts w:cstheme="minorHAnsi"/>
                <w:sz w:val="21"/>
                <w:szCs w:val="20"/>
              </w:rPr>
              <w:t>#1</w:t>
            </w:r>
          </w:p>
        </w:tc>
        <w:tc>
          <w:tcPr>
            <w:tcW w:w="7398" w:type="dxa"/>
            <w:tcBorders>
              <w:top w:val="single" w:sz="4" w:space="0" w:color="auto"/>
              <w:left w:val="nil"/>
              <w:bottom w:val="single" w:sz="4" w:space="0" w:color="auto"/>
              <w:right w:val="single" w:sz="4" w:space="0" w:color="auto"/>
            </w:tcBorders>
            <w:noWrap/>
          </w:tcPr>
          <w:p w14:paraId="3120432F" w14:textId="77777777" w:rsidR="00C916C8" w:rsidRPr="001832E9" w:rsidRDefault="00C916C8" w:rsidP="008D4E13">
            <w:pPr>
              <w:jc w:val="left"/>
              <w:rPr>
                <w:rFonts w:cstheme="minorHAnsi"/>
                <w:sz w:val="21"/>
                <w:szCs w:val="20"/>
              </w:rPr>
            </w:pPr>
            <w:r w:rsidRPr="001832E9">
              <w:rPr>
                <w:rFonts w:cstheme="minorHAnsi"/>
                <w:sz w:val="21"/>
                <w:szCs w:val="20"/>
              </w:rPr>
              <w:t>('lymphoma'/exp OR 'lymphoma') AND 'large' AND ('b cell'/exp OR 'b cell') AND 'diffuse' OR 'large b cell lymphoma'/exp OR 'large b cell lymphoma' OR 'dlbcl'/exp OR 'dlbcl' OR 'dlbcls' OR 'lbcl' OR 'diffuse lymphoma'/exp OR 'diffuse lymphoma' OR 'diffuse large b cell lymphoma'/exp OR 'diffuse large b cell lymphoma' OR 'b cell lymphoma'/exp OR 'b cell lymphoma'</w:t>
            </w:r>
          </w:p>
        </w:tc>
        <w:tc>
          <w:tcPr>
            <w:tcW w:w="1417" w:type="dxa"/>
            <w:tcBorders>
              <w:top w:val="single" w:sz="4" w:space="0" w:color="auto"/>
              <w:left w:val="nil"/>
              <w:bottom w:val="single" w:sz="4" w:space="0" w:color="auto"/>
              <w:right w:val="single" w:sz="4" w:space="0" w:color="auto"/>
            </w:tcBorders>
            <w:noWrap/>
          </w:tcPr>
          <w:p w14:paraId="3DBE395E" w14:textId="77777777" w:rsidR="00C916C8" w:rsidRPr="001832E9" w:rsidRDefault="00C916C8" w:rsidP="008D4E13">
            <w:pPr>
              <w:rPr>
                <w:rFonts w:cstheme="minorHAnsi"/>
                <w:sz w:val="21"/>
                <w:szCs w:val="20"/>
              </w:rPr>
            </w:pPr>
            <w:r w:rsidRPr="001832E9">
              <w:rPr>
                <w:rFonts w:cstheme="minorHAnsi"/>
                <w:sz w:val="21"/>
                <w:szCs w:val="20"/>
              </w:rPr>
              <w:t>183461</w:t>
            </w:r>
          </w:p>
        </w:tc>
      </w:tr>
      <w:tr w:rsidR="00C916C8" w:rsidRPr="001832E9" w14:paraId="3FF061D2" w14:textId="77777777" w:rsidTr="008D4E13">
        <w:trPr>
          <w:trHeight w:val="293"/>
        </w:trPr>
        <w:tc>
          <w:tcPr>
            <w:tcW w:w="682" w:type="dxa"/>
            <w:tcBorders>
              <w:top w:val="nil"/>
              <w:left w:val="single" w:sz="4" w:space="0" w:color="auto"/>
              <w:bottom w:val="single" w:sz="4" w:space="0" w:color="auto"/>
              <w:right w:val="single" w:sz="4" w:space="0" w:color="auto"/>
            </w:tcBorders>
            <w:noWrap/>
          </w:tcPr>
          <w:p w14:paraId="62A94951" w14:textId="77777777" w:rsidR="00C916C8" w:rsidRPr="001832E9" w:rsidRDefault="00C916C8" w:rsidP="008D4E13">
            <w:pPr>
              <w:rPr>
                <w:rFonts w:cstheme="minorHAnsi"/>
                <w:sz w:val="21"/>
                <w:szCs w:val="20"/>
              </w:rPr>
            </w:pPr>
            <w:r w:rsidRPr="001832E9">
              <w:rPr>
                <w:rFonts w:cstheme="minorHAnsi"/>
                <w:sz w:val="21"/>
                <w:szCs w:val="20"/>
              </w:rPr>
              <w:t>#2</w:t>
            </w:r>
          </w:p>
        </w:tc>
        <w:tc>
          <w:tcPr>
            <w:tcW w:w="7398" w:type="dxa"/>
            <w:tcBorders>
              <w:top w:val="nil"/>
              <w:left w:val="nil"/>
              <w:bottom w:val="single" w:sz="4" w:space="0" w:color="auto"/>
              <w:right w:val="single" w:sz="4" w:space="0" w:color="auto"/>
            </w:tcBorders>
            <w:noWrap/>
          </w:tcPr>
          <w:p w14:paraId="136E9048" w14:textId="77777777" w:rsidR="00C916C8" w:rsidRPr="001832E9" w:rsidRDefault="00C916C8" w:rsidP="008D4E13">
            <w:pPr>
              <w:jc w:val="left"/>
              <w:rPr>
                <w:rFonts w:cstheme="minorHAnsi"/>
                <w:sz w:val="21"/>
                <w:szCs w:val="20"/>
              </w:rPr>
            </w:pPr>
            <w:r w:rsidRPr="001832E9">
              <w:rPr>
                <w:rFonts w:cstheme="minorHAnsi"/>
                <w:sz w:val="21"/>
                <w:szCs w:val="20"/>
              </w:rPr>
              <w:t>'car t' OR 'chimeric antigen receptor t cell therap*' OR 'adoptive immunotherapy'/exp OR 'adoptive immunotherapy' OR 'tisacel' OR 'tisa-cel' OR 'tisagenlecleucel'/exp OR 'tisagenlecleucel' OR 'kymriah'/exp OR 'kymriah' OR 'axicel' OR 'axi-cel'/exp OR 'axi-cel' OR 'axicabtagene ciloleucel'/exp OR 'axicabtagene ciloleucel' OR 'yescarta'/exp OR 'yescarta' OR ('lisocabtagene' AND 'maraleucel') OR 'lisocel' OR 'liso-cel'/exp OR 'liso-cel' OR 'breyanzi'/exp OR 'breyanzi' OR 'lisocabtagene maraleucel'/exp OR 'lisocabtagene maraleucel'</w:t>
            </w:r>
          </w:p>
        </w:tc>
        <w:tc>
          <w:tcPr>
            <w:tcW w:w="1417" w:type="dxa"/>
            <w:tcBorders>
              <w:top w:val="nil"/>
              <w:left w:val="nil"/>
              <w:bottom w:val="single" w:sz="4" w:space="0" w:color="auto"/>
              <w:right w:val="single" w:sz="4" w:space="0" w:color="auto"/>
            </w:tcBorders>
            <w:noWrap/>
          </w:tcPr>
          <w:p w14:paraId="13A1C432" w14:textId="77777777" w:rsidR="00C916C8" w:rsidRPr="001832E9" w:rsidRDefault="00C916C8" w:rsidP="008D4E13">
            <w:pPr>
              <w:rPr>
                <w:rFonts w:cstheme="minorHAnsi"/>
                <w:sz w:val="21"/>
                <w:szCs w:val="20"/>
              </w:rPr>
            </w:pPr>
            <w:r w:rsidRPr="001832E9">
              <w:rPr>
                <w:rFonts w:cstheme="minorHAnsi"/>
                <w:sz w:val="21"/>
                <w:szCs w:val="20"/>
              </w:rPr>
              <w:t>78349</w:t>
            </w:r>
          </w:p>
        </w:tc>
      </w:tr>
      <w:tr w:rsidR="00C916C8" w:rsidRPr="001832E9" w14:paraId="20F15DC6" w14:textId="77777777" w:rsidTr="008D4E13">
        <w:trPr>
          <w:trHeight w:val="293"/>
        </w:trPr>
        <w:tc>
          <w:tcPr>
            <w:tcW w:w="682" w:type="dxa"/>
            <w:tcBorders>
              <w:top w:val="nil"/>
              <w:left w:val="single" w:sz="4" w:space="0" w:color="auto"/>
              <w:bottom w:val="single" w:sz="4" w:space="0" w:color="auto"/>
              <w:right w:val="single" w:sz="4" w:space="0" w:color="auto"/>
            </w:tcBorders>
            <w:noWrap/>
          </w:tcPr>
          <w:p w14:paraId="03E57CD9" w14:textId="77777777" w:rsidR="00C916C8" w:rsidRPr="001832E9" w:rsidRDefault="00C916C8" w:rsidP="008D4E13">
            <w:pPr>
              <w:rPr>
                <w:rFonts w:cstheme="minorHAnsi"/>
                <w:sz w:val="21"/>
                <w:szCs w:val="20"/>
              </w:rPr>
            </w:pPr>
            <w:r w:rsidRPr="001832E9">
              <w:rPr>
                <w:rFonts w:cstheme="minorHAnsi"/>
                <w:sz w:val="21"/>
                <w:szCs w:val="20"/>
              </w:rPr>
              <w:t>#3</w:t>
            </w:r>
          </w:p>
        </w:tc>
        <w:tc>
          <w:tcPr>
            <w:tcW w:w="7398" w:type="dxa"/>
            <w:tcBorders>
              <w:top w:val="nil"/>
              <w:left w:val="nil"/>
              <w:bottom w:val="single" w:sz="4" w:space="0" w:color="auto"/>
              <w:right w:val="single" w:sz="4" w:space="0" w:color="auto"/>
            </w:tcBorders>
            <w:noWrap/>
          </w:tcPr>
          <w:p w14:paraId="15F35638" w14:textId="77777777" w:rsidR="00C916C8" w:rsidRPr="001832E9" w:rsidRDefault="00C916C8" w:rsidP="008D4E13">
            <w:pPr>
              <w:jc w:val="left"/>
              <w:rPr>
                <w:rFonts w:cstheme="minorHAnsi"/>
                <w:sz w:val="21"/>
                <w:szCs w:val="20"/>
                <w:lang w:val="en-US"/>
              </w:rPr>
            </w:pPr>
            <w:r w:rsidRPr="001832E9">
              <w:rPr>
                <w:rFonts w:cstheme="minorHAnsi"/>
                <w:sz w:val="21"/>
                <w:szCs w:val="20"/>
                <w:lang w:val="en-US"/>
              </w:rPr>
              <w:t>'indirect comparison*' OR ('indirect' AND 'comparison*') OR 'itc' OR 'treatment comparison*' OR (('treatment'/exp OR 'treatment') AND 'comparison*') OR 'simulated treatment comparison*' OR 'stc' OR 'network meta analys*' OR 'nma' OR 'adjusted comparison*' OR ('adjusted' AND 'comparison*') OR 'matching adjusted indirect comparison*' OR 'maic' OR 'comparing efficacy' OR ('bucher*' AND 'comparison*') OR ('bayesian*' AND 'comparison*') OR 'real world comparison*' OR 'comparative efficacy' OR (('comparative' OR 'comparing') AND ('efficacy'/exp OR 'efficacy')) OR 'network meta analysis (topic)'/exp OR 'network meta analysis (topic)' OR (('network'/exp OR 'network' OR 'network s' OR 'networked' OR 'networker' OR 'networkers' OR 'networking' OR 'networks') AND ('meta analysis (topic)'/exp OR 'meta analysis (topic)')) OR (('propensity' AND ('score'/exp OR 'score') OR 'propensity score'/exp OR 'propensity score') AND ('match' OR 'matched' OR 'matches' OR 'matching' OR 'matchings')) OR 'propensity score'/exp OR 'propensity score'</w:t>
            </w:r>
          </w:p>
        </w:tc>
        <w:tc>
          <w:tcPr>
            <w:tcW w:w="1417" w:type="dxa"/>
            <w:tcBorders>
              <w:top w:val="nil"/>
              <w:left w:val="nil"/>
              <w:bottom w:val="single" w:sz="4" w:space="0" w:color="auto"/>
              <w:right w:val="single" w:sz="4" w:space="0" w:color="auto"/>
            </w:tcBorders>
            <w:noWrap/>
          </w:tcPr>
          <w:p w14:paraId="333F5D77" w14:textId="77777777" w:rsidR="00C916C8" w:rsidRPr="001832E9" w:rsidRDefault="00C916C8" w:rsidP="008D4E13">
            <w:pPr>
              <w:rPr>
                <w:rFonts w:cstheme="minorHAnsi"/>
                <w:sz w:val="21"/>
                <w:szCs w:val="20"/>
              </w:rPr>
            </w:pPr>
            <w:r w:rsidRPr="001832E9">
              <w:rPr>
                <w:rFonts w:cstheme="minorHAnsi"/>
                <w:sz w:val="21"/>
                <w:szCs w:val="20"/>
              </w:rPr>
              <w:t>1434821</w:t>
            </w:r>
          </w:p>
        </w:tc>
      </w:tr>
      <w:tr w:rsidR="00C916C8" w:rsidRPr="001832E9" w14:paraId="517F48E0" w14:textId="77777777" w:rsidTr="008D4E13">
        <w:trPr>
          <w:trHeight w:val="293"/>
        </w:trPr>
        <w:tc>
          <w:tcPr>
            <w:tcW w:w="682" w:type="dxa"/>
            <w:tcBorders>
              <w:top w:val="nil"/>
              <w:left w:val="single" w:sz="4" w:space="0" w:color="auto"/>
              <w:bottom w:val="single" w:sz="4" w:space="0" w:color="auto"/>
              <w:right w:val="single" w:sz="4" w:space="0" w:color="auto"/>
            </w:tcBorders>
            <w:noWrap/>
          </w:tcPr>
          <w:p w14:paraId="66A7299A" w14:textId="77777777" w:rsidR="00C916C8" w:rsidRPr="001832E9" w:rsidRDefault="00C916C8" w:rsidP="008D4E13">
            <w:pPr>
              <w:rPr>
                <w:rFonts w:cstheme="minorHAnsi"/>
                <w:sz w:val="21"/>
                <w:szCs w:val="20"/>
              </w:rPr>
            </w:pPr>
            <w:r w:rsidRPr="001832E9">
              <w:rPr>
                <w:rFonts w:cstheme="minorHAnsi"/>
                <w:sz w:val="21"/>
                <w:szCs w:val="20"/>
              </w:rPr>
              <w:t>#4</w:t>
            </w:r>
          </w:p>
        </w:tc>
        <w:tc>
          <w:tcPr>
            <w:tcW w:w="7398" w:type="dxa"/>
            <w:tcBorders>
              <w:top w:val="nil"/>
              <w:left w:val="nil"/>
              <w:bottom w:val="single" w:sz="4" w:space="0" w:color="auto"/>
              <w:right w:val="single" w:sz="4" w:space="0" w:color="auto"/>
            </w:tcBorders>
            <w:noWrap/>
          </w:tcPr>
          <w:p w14:paraId="35F3ED63" w14:textId="77777777" w:rsidR="00C916C8" w:rsidRPr="001832E9" w:rsidRDefault="00C916C8" w:rsidP="008D4E13">
            <w:pPr>
              <w:jc w:val="left"/>
              <w:rPr>
                <w:rFonts w:cstheme="minorHAnsi"/>
                <w:sz w:val="21"/>
                <w:szCs w:val="20"/>
              </w:rPr>
            </w:pPr>
            <w:r w:rsidRPr="001832E9">
              <w:rPr>
                <w:rFonts w:cstheme="minorHAnsi"/>
                <w:sz w:val="21"/>
                <w:szCs w:val="20"/>
              </w:rPr>
              <w:t>#1 AND #2 AND #3</w:t>
            </w:r>
          </w:p>
        </w:tc>
        <w:tc>
          <w:tcPr>
            <w:tcW w:w="1417" w:type="dxa"/>
            <w:tcBorders>
              <w:top w:val="nil"/>
              <w:left w:val="nil"/>
              <w:bottom w:val="single" w:sz="4" w:space="0" w:color="auto"/>
              <w:right w:val="single" w:sz="4" w:space="0" w:color="auto"/>
            </w:tcBorders>
            <w:noWrap/>
          </w:tcPr>
          <w:p w14:paraId="69E6ACC7" w14:textId="77777777" w:rsidR="00C916C8" w:rsidRPr="001832E9" w:rsidRDefault="00C916C8" w:rsidP="008D4E13">
            <w:pPr>
              <w:rPr>
                <w:rFonts w:cstheme="minorHAnsi"/>
                <w:sz w:val="21"/>
                <w:szCs w:val="20"/>
              </w:rPr>
            </w:pPr>
            <w:r w:rsidRPr="001832E9">
              <w:rPr>
                <w:rFonts w:cstheme="minorHAnsi"/>
                <w:sz w:val="21"/>
                <w:szCs w:val="20"/>
              </w:rPr>
              <w:t>1222</w:t>
            </w:r>
          </w:p>
        </w:tc>
      </w:tr>
      <w:tr w:rsidR="00C916C8" w:rsidRPr="001832E9" w14:paraId="681964B4" w14:textId="77777777" w:rsidTr="008D4E13">
        <w:trPr>
          <w:trHeight w:val="293"/>
        </w:trPr>
        <w:tc>
          <w:tcPr>
            <w:tcW w:w="682" w:type="dxa"/>
            <w:tcBorders>
              <w:top w:val="nil"/>
              <w:left w:val="single" w:sz="4" w:space="0" w:color="auto"/>
              <w:bottom w:val="single" w:sz="4" w:space="0" w:color="auto"/>
              <w:right w:val="single" w:sz="4" w:space="0" w:color="auto"/>
            </w:tcBorders>
            <w:noWrap/>
          </w:tcPr>
          <w:p w14:paraId="1B1B9983" w14:textId="77777777" w:rsidR="00C916C8" w:rsidRPr="001832E9" w:rsidRDefault="00C916C8" w:rsidP="008D4E13">
            <w:pPr>
              <w:rPr>
                <w:rFonts w:cstheme="minorHAnsi"/>
                <w:sz w:val="21"/>
                <w:szCs w:val="20"/>
              </w:rPr>
            </w:pPr>
            <w:r w:rsidRPr="001832E9">
              <w:rPr>
                <w:rFonts w:cstheme="minorHAnsi"/>
                <w:sz w:val="21"/>
                <w:szCs w:val="20"/>
              </w:rPr>
              <w:t>#5</w:t>
            </w:r>
          </w:p>
        </w:tc>
        <w:tc>
          <w:tcPr>
            <w:tcW w:w="7398" w:type="dxa"/>
            <w:tcBorders>
              <w:top w:val="nil"/>
              <w:left w:val="nil"/>
              <w:bottom w:val="single" w:sz="4" w:space="0" w:color="auto"/>
              <w:right w:val="single" w:sz="4" w:space="0" w:color="auto"/>
            </w:tcBorders>
            <w:noWrap/>
          </w:tcPr>
          <w:p w14:paraId="0CDCEBCB" w14:textId="77777777" w:rsidR="00C916C8" w:rsidRPr="001832E9" w:rsidRDefault="00C916C8" w:rsidP="008D4E13">
            <w:pPr>
              <w:jc w:val="left"/>
              <w:rPr>
                <w:rFonts w:cstheme="minorHAnsi"/>
                <w:sz w:val="21"/>
                <w:szCs w:val="20"/>
                <w:lang w:val="en-US"/>
              </w:rPr>
            </w:pPr>
            <w:r w:rsidRPr="001832E9">
              <w:rPr>
                <w:rFonts w:cstheme="minorHAnsi"/>
                <w:sz w:val="21"/>
                <w:szCs w:val="20"/>
                <w:lang w:val="en-US"/>
              </w:rPr>
              <w:t>#4 NOT ('conference abstract'/it OR 'conference paper'/it OR 'conference review'/it OR 'data papers'/it OR 'editorial'/it OR 'erratum'/it OR 'letter'/it OR 'note'/it OR 'short survey'/it OR 'clinical trial'/it)</w:t>
            </w:r>
          </w:p>
        </w:tc>
        <w:tc>
          <w:tcPr>
            <w:tcW w:w="1417" w:type="dxa"/>
            <w:tcBorders>
              <w:top w:val="nil"/>
              <w:left w:val="nil"/>
              <w:bottom w:val="single" w:sz="4" w:space="0" w:color="auto"/>
              <w:right w:val="single" w:sz="4" w:space="0" w:color="auto"/>
            </w:tcBorders>
            <w:noWrap/>
          </w:tcPr>
          <w:p w14:paraId="124E7CE0" w14:textId="77777777" w:rsidR="00C916C8" w:rsidRPr="001832E9" w:rsidRDefault="00C916C8" w:rsidP="008D4E13">
            <w:pPr>
              <w:rPr>
                <w:rFonts w:cstheme="minorHAnsi"/>
                <w:sz w:val="21"/>
                <w:szCs w:val="20"/>
              </w:rPr>
            </w:pPr>
            <w:r w:rsidRPr="001832E9">
              <w:rPr>
                <w:rFonts w:cstheme="minorHAnsi"/>
                <w:sz w:val="21"/>
                <w:szCs w:val="20"/>
              </w:rPr>
              <w:t>394</w:t>
            </w:r>
          </w:p>
        </w:tc>
      </w:tr>
      <w:tr w:rsidR="00C916C8" w:rsidRPr="001832E9" w14:paraId="2145F789" w14:textId="77777777" w:rsidTr="008D4E13">
        <w:trPr>
          <w:trHeight w:val="293"/>
        </w:trPr>
        <w:tc>
          <w:tcPr>
            <w:tcW w:w="682" w:type="dxa"/>
            <w:tcBorders>
              <w:top w:val="single" w:sz="4" w:space="0" w:color="auto"/>
              <w:left w:val="single" w:sz="4" w:space="0" w:color="auto"/>
              <w:bottom w:val="single" w:sz="4" w:space="0" w:color="auto"/>
              <w:right w:val="single" w:sz="4" w:space="0" w:color="auto"/>
            </w:tcBorders>
            <w:noWrap/>
          </w:tcPr>
          <w:p w14:paraId="31394A99" w14:textId="77777777" w:rsidR="00C916C8" w:rsidRPr="001832E9" w:rsidRDefault="00C916C8" w:rsidP="008D4E13">
            <w:pPr>
              <w:rPr>
                <w:rFonts w:cstheme="minorHAnsi"/>
                <w:sz w:val="21"/>
                <w:szCs w:val="20"/>
              </w:rPr>
            </w:pPr>
            <w:r w:rsidRPr="001832E9">
              <w:rPr>
                <w:rFonts w:cstheme="minorHAnsi"/>
                <w:sz w:val="21"/>
                <w:szCs w:val="20"/>
              </w:rPr>
              <w:t>#6</w:t>
            </w:r>
          </w:p>
        </w:tc>
        <w:tc>
          <w:tcPr>
            <w:tcW w:w="7398" w:type="dxa"/>
            <w:tcBorders>
              <w:top w:val="single" w:sz="4" w:space="0" w:color="auto"/>
              <w:left w:val="nil"/>
              <w:bottom w:val="single" w:sz="4" w:space="0" w:color="auto"/>
              <w:right w:val="single" w:sz="4" w:space="0" w:color="auto"/>
            </w:tcBorders>
            <w:noWrap/>
          </w:tcPr>
          <w:p w14:paraId="7DEF970F" w14:textId="77777777" w:rsidR="00C916C8" w:rsidRPr="001832E9" w:rsidRDefault="00C916C8" w:rsidP="008D4E13">
            <w:pPr>
              <w:jc w:val="left"/>
              <w:rPr>
                <w:rFonts w:cstheme="minorHAnsi"/>
                <w:sz w:val="21"/>
                <w:szCs w:val="20"/>
              </w:rPr>
            </w:pPr>
            <w:r w:rsidRPr="001832E9">
              <w:rPr>
                <w:rFonts w:cstheme="minorHAnsi"/>
                <w:sz w:val="21"/>
                <w:szCs w:val="20"/>
              </w:rPr>
              <w:t>#5 NOT [animals]/lim</w:t>
            </w:r>
          </w:p>
        </w:tc>
        <w:tc>
          <w:tcPr>
            <w:tcW w:w="1417" w:type="dxa"/>
            <w:tcBorders>
              <w:top w:val="single" w:sz="4" w:space="0" w:color="auto"/>
              <w:left w:val="nil"/>
              <w:bottom w:val="single" w:sz="4" w:space="0" w:color="auto"/>
              <w:right w:val="single" w:sz="4" w:space="0" w:color="auto"/>
            </w:tcBorders>
            <w:noWrap/>
          </w:tcPr>
          <w:p w14:paraId="6B832597" w14:textId="77777777" w:rsidR="00C916C8" w:rsidRPr="001832E9" w:rsidRDefault="00C916C8" w:rsidP="008D4E13">
            <w:pPr>
              <w:rPr>
                <w:rFonts w:cstheme="minorHAnsi"/>
                <w:sz w:val="21"/>
                <w:szCs w:val="20"/>
              </w:rPr>
            </w:pPr>
            <w:r w:rsidRPr="001832E9">
              <w:rPr>
                <w:rFonts w:cstheme="minorHAnsi"/>
                <w:sz w:val="21"/>
                <w:szCs w:val="20"/>
              </w:rPr>
              <w:t>400</w:t>
            </w:r>
          </w:p>
        </w:tc>
      </w:tr>
      <w:tr w:rsidR="00C916C8" w:rsidRPr="001832E9" w14:paraId="060F959A" w14:textId="77777777" w:rsidTr="008D4E13">
        <w:trPr>
          <w:trHeight w:val="293"/>
        </w:trPr>
        <w:tc>
          <w:tcPr>
            <w:tcW w:w="68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143608FB" w14:textId="77777777" w:rsidR="00C916C8" w:rsidRPr="001832E9" w:rsidRDefault="00C916C8" w:rsidP="008D4E13">
            <w:pPr>
              <w:rPr>
                <w:rFonts w:cstheme="minorHAnsi"/>
                <w:sz w:val="21"/>
                <w:szCs w:val="20"/>
              </w:rPr>
            </w:pPr>
            <w:r w:rsidRPr="001832E9">
              <w:rPr>
                <w:rFonts w:cstheme="minorHAnsi"/>
                <w:sz w:val="21"/>
                <w:szCs w:val="20"/>
              </w:rPr>
              <w:t>#7</w:t>
            </w:r>
          </w:p>
        </w:tc>
        <w:tc>
          <w:tcPr>
            <w:tcW w:w="7398" w:type="dxa"/>
            <w:tcBorders>
              <w:top w:val="single" w:sz="4" w:space="0" w:color="auto"/>
              <w:left w:val="nil"/>
              <w:bottom w:val="single" w:sz="4" w:space="0" w:color="auto"/>
              <w:right w:val="single" w:sz="4" w:space="0" w:color="auto"/>
            </w:tcBorders>
            <w:shd w:val="clear" w:color="auto" w:fill="D9D9D9" w:themeFill="background1" w:themeFillShade="D9"/>
            <w:noWrap/>
          </w:tcPr>
          <w:p w14:paraId="78034039" w14:textId="77777777" w:rsidR="00C916C8" w:rsidRPr="001832E9" w:rsidRDefault="00C916C8" w:rsidP="008D4E13">
            <w:pPr>
              <w:jc w:val="left"/>
              <w:rPr>
                <w:rFonts w:cstheme="minorHAnsi"/>
                <w:sz w:val="21"/>
                <w:szCs w:val="20"/>
                <w:lang w:val="en-US"/>
              </w:rPr>
            </w:pPr>
            <w:r w:rsidRPr="001832E9">
              <w:rPr>
                <w:rFonts w:cstheme="minorHAnsi"/>
                <w:sz w:val="21"/>
                <w:szCs w:val="20"/>
                <w:lang w:val="en-US"/>
              </w:rPr>
              <w:t>#6 AND ([english]/lim OR [german]/lim)</w:t>
            </w:r>
          </w:p>
        </w:tc>
        <w:tc>
          <w:tcPr>
            <w:tcW w:w="1417" w:type="dxa"/>
            <w:tcBorders>
              <w:top w:val="single" w:sz="4" w:space="0" w:color="auto"/>
              <w:left w:val="nil"/>
              <w:bottom w:val="single" w:sz="4" w:space="0" w:color="auto"/>
              <w:right w:val="single" w:sz="4" w:space="0" w:color="auto"/>
            </w:tcBorders>
            <w:shd w:val="clear" w:color="auto" w:fill="D9D9D9" w:themeFill="background1" w:themeFillShade="D9"/>
            <w:noWrap/>
          </w:tcPr>
          <w:p w14:paraId="2FC3D001" w14:textId="77777777" w:rsidR="00C916C8" w:rsidRPr="001832E9" w:rsidRDefault="00C916C8" w:rsidP="008D4E13">
            <w:pPr>
              <w:rPr>
                <w:rFonts w:cstheme="minorHAnsi"/>
                <w:sz w:val="21"/>
                <w:szCs w:val="20"/>
              </w:rPr>
            </w:pPr>
            <w:r w:rsidRPr="001832E9">
              <w:rPr>
                <w:rFonts w:cstheme="minorHAnsi"/>
                <w:sz w:val="21"/>
                <w:szCs w:val="20"/>
              </w:rPr>
              <w:t>374</w:t>
            </w:r>
          </w:p>
        </w:tc>
      </w:tr>
    </w:tbl>
    <w:p w14:paraId="41EA5021" w14:textId="77777777" w:rsidR="00C916C8" w:rsidRDefault="00C916C8"/>
    <w:p w14:paraId="008C5FB0" w14:textId="3C88723A" w:rsidR="00C916C8" w:rsidRDefault="00C916C8">
      <w:pPr>
        <w:spacing w:after="160" w:line="278" w:lineRule="auto"/>
        <w:jc w:val="left"/>
      </w:pPr>
      <w:r>
        <w:br w:type="page"/>
      </w:r>
    </w:p>
    <w:p w14:paraId="75F02D74" w14:textId="2699F323" w:rsidR="00C916C8" w:rsidRPr="005D1100" w:rsidRDefault="00C916C8">
      <w:pPr>
        <w:rPr>
          <w:lang w:val="en-US"/>
        </w:rPr>
      </w:pPr>
      <w:bookmarkStart w:id="0" w:name="_Hlk220689807"/>
      <w:r w:rsidRPr="005D1100">
        <w:rPr>
          <w:lang w:val="en-US"/>
        </w:rPr>
        <w:lastRenderedPageBreak/>
        <w:t>Supplementary Table 2: Chochrane Central</w:t>
      </w:r>
      <w:r w:rsidR="005D1100" w:rsidRPr="005D1100">
        <w:rPr>
          <w:lang w:val="en-US"/>
        </w:rPr>
        <w:t xml:space="preserve"> S</w:t>
      </w:r>
      <w:r w:rsidR="005D1100">
        <w:rPr>
          <w:lang w:val="en-US"/>
        </w:rPr>
        <w:t>earch Strategy</w:t>
      </w:r>
    </w:p>
    <w:tbl>
      <w:tblPr>
        <w:tblW w:w="9497" w:type="dxa"/>
        <w:tblInd w:w="137" w:type="dxa"/>
        <w:tblCellMar>
          <w:left w:w="70" w:type="dxa"/>
          <w:right w:w="70" w:type="dxa"/>
        </w:tblCellMar>
        <w:tblLook w:val="04A0" w:firstRow="1" w:lastRow="0" w:firstColumn="1" w:lastColumn="0" w:noHBand="0" w:noVBand="1"/>
      </w:tblPr>
      <w:tblGrid>
        <w:gridCol w:w="709"/>
        <w:gridCol w:w="7349"/>
        <w:gridCol w:w="1439"/>
      </w:tblGrid>
      <w:tr w:rsidR="00335F8E" w:rsidRPr="001832E9" w14:paraId="1B5C5760" w14:textId="77777777" w:rsidTr="008D4E13">
        <w:trPr>
          <w:trHeight w:val="290"/>
          <w:tblHeader/>
        </w:trPr>
        <w:tc>
          <w:tcPr>
            <w:tcW w:w="709" w:type="dxa"/>
            <w:tcBorders>
              <w:top w:val="single" w:sz="4" w:space="0" w:color="auto"/>
              <w:left w:val="single" w:sz="4" w:space="0" w:color="auto"/>
              <w:bottom w:val="single" w:sz="4" w:space="0" w:color="auto"/>
              <w:right w:val="single" w:sz="4" w:space="0" w:color="auto"/>
            </w:tcBorders>
            <w:noWrap/>
            <w:vAlign w:val="center"/>
          </w:tcPr>
          <w:bookmarkEnd w:id="0"/>
          <w:p w14:paraId="08065C21" w14:textId="77777777" w:rsidR="00335F8E" w:rsidRPr="001832E9" w:rsidRDefault="00335F8E" w:rsidP="008D4E13">
            <w:pPr>
              <w:rPr>
                <w:rFonts w:cstheme="minorHAnsi"/>
                <w:b/>
                <w:bCs/>
                <w:sz w:val="21"/>
                <w:szCs w:val="20"/>
              </w:rPr>
            </w:pPr>
            <w:r w:rsidRPr="001832E9">
              <w:rPr>
                <w:rFonts w:cstheme="minorHAnsi"/>
                <w:b/>
                <w:bCs/>
                <w:sz w:val="21"/>
                <w:szCs w:val="20"/>
              </w:rPr>
              <w:t>#</w:t>
            </w:r>
          </w:p>
        </w:tc>
        <w:tc>
          <w:tcPr>
            <w:tcW w:w="7349" w:type="dxa"/>
            <w:tcBorders>
              <w:top w:val="single" w:sz="4" w:space="0" w:color="auto"/>
              <w:left w:val="nil"/>
              <w:bottom w:val="single" w:sz="4" w:space="0" w:color="auto"/>
              <w:right w:val="single" w:sz="4" w:space="0" w:color="auto"/>
            </w:tcBorders>
            <w:noWrap/>
            <w:vAlign w:val="center"/>
          </w:tcPr>
          <w:p w14:paraId="77091A61" w14:textId="77777777" w:rsidR="00335F8E" w:rsidRPr="001832E9" w:rsidRDefault="00335F8E" w:rsidP="008D4E13">
            <w:pPr>
              <w:jc w:val="left"/>
              <w:rPr>
                <w:rFonts w:cstheme="minorHAnsi"/>
                <w:b/>
                <w:bCs/>
                <w:sz w:val="21"/>
                <w:szCs w:val="20"/>
              </w:rPr>
            </w:pPr>
            <w:r w:rsidRPr="001832E9">
              <w:rPr>
                <w:rFonts w:cstheme="minorHAnsi"/>
                <w:b/>
                <w:bCs/>
                <w:sz w:val="21"/>
                <w:szCs w:val="20"/>
              </w:rPr>
              <w:t>Search in Chochrane Central</w:t>
            </w:r>
          </w:p>
        </w:tc>
        <w:tc>
          <w:tcPr>
            <w:tcW w:w="1439" w:type="dxa"/>
            <w:tcBorders>
              <w:top w:val="single" w:sz="4" w:space="0" w:color="auto"/>
              <w:left w:val="nil"/>
              <w:bottom w:val="single" w:sz="4" w:space="0" w:color="auto"/>
              <w:right w:val="single" w:sz="4" w:space="0" w:color="auto"/>
            </w:tcBorders>
            <w:noWrap/>
            <w:vAlign w:val="center"/>
          </w:tcPr>
          <w:p w14:paraId="3345E483" w14:textId="77777777" w:rsidR="00335F8E" w:rsidRPr="001832E9" w:rsidRDefault="00335F8E" w:rsidP="008D4E13">
            <w:pPr>
              <w:rPr>
                <w:rFonts w:cstheme="minorHAnsi"/>
                <w:sz w:val="21"/>
                <w:szCs w:val="20"/>
              </w:rPr>
            </w:pPr>
            <w:r w:rsidRPr="001832E9">
              <w:rPr>
                <w:rFonts w:cstheme="minorHAnsi"/>
                <w:b/>
                <w:bCs/>
                <w:sz w:val="21"/>
                <w:szCs w:val="20"/>
              </w:rPr>
              <w:t>Results</w:t>
            </w:r>
          </w:p>
        </w:tc>
      </w:tr>
      <w:tr w:rsidR="00335F8E" w:rsidRPr="001832E9" w14:paraId="4DFF969E"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noWrap/>
            <w:hideMark/>
          </w:tcPr>
          <w:p w14:paraId="4090B2ED" w14:textId="77777777" w:rsidR="00335F8E" w:rsidRPr="001832E9" w:rsidRDefault="00335F8E" w:rsidP="008D4E13">
            <w:pPr>
              <w:rPr>
                <w:rFonts w:cstheme="minorHAnsi"/>
                <w:sz w:val="21"/>
                <w:szCs w:val="20"/>
              </w:rPr>
            </w:pPr>
            <w:r w:rsidRPr="001832E9">
              <w:rPr>
                <w:rFonts w:cstheme="minorHAnsi"/>
                <w:sz w:val="21"/>
                <w:szCs w:val="20"/>
              </w:rPr>
              <w:t>#1</w:t>
            </w:r>
          </w:p>
        </w:tc>
        <w:tc>
          <w:tcPr>
            <w:tcW w:w="7349" w:type="dxa"/>
            <w:tcBorders>
              <w:top w:val="single" w:sz="4" w:space="0" w:color="auto"/>
              <w:left w:val="nil"/>
              <w:bottom w:val="single" w:sz="4" w:space="0" w:color="auto"/>
              <w:right w:val="single" w:sz="4" w:space="0" w:color="auto"/>
            </w:tcBorders>
            <w:noWrap/>
            <w:hideMark/>
          </w:tcPr>
          <w:p w14:paraId="0A2CF8A8"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diffuse large b-cell lymphoma OR "large B-cell lymphoma" OR "dlbcl" OR "dlbcls" OR "LBCL"</w:t>
            </w:r>
          </w:p>
        </w:tc>
        <w:tc>
          <w:tcPr>
            <w:tcW w:w="1439" w:type="dxa"/>
            <w:tcBorders>
              <w:top w:val="single" w:sz="4" w:space="0" w:color="auto"/>
              <w:left w:val="nil"/>
              <w:bottom w:val="single" w:sz="4" w:space="0" w:color="auto"/>
              <w:right w:val="single" w:sz="4" w:space="0" w:color="auto"/>
            </w:tcBorders>
            <w:noWrap/>
            <w:hideMark/>
          </w:tcPr>
          <w:p w14:paraId="7A4BEE3D" w14:textId="77777777" w:rsidR="00335F8E" w:rsidRPr="001832E9" w:rsidRDefault="00335F8E" w:rsidP="008D4E13">
            <w:pPr>
              <w:rPr>
                <w:rFonts w:cstheme="minorHAnsi"/>
                <w:sz w:val="21"/>
                <w:szCs w:val="20"/>
              </w:rPr>
            </w:pPr>
            <w:r w:rsidRPr="001832E9">
              <w:rPr>
                <w:rFonts w:cstheme="minorHAnsi"/>
                <w:sz w:val="21"/>
                <w:szCs w:val="20"/>
              </w:rPr>
              <w:t>2173</w:t>
            </w:r>
          </w:p>
        </w:tc>
      </w:tr>
      <w:tr w:rsidR="00335F8E" w:rsidRPr="001832E9" w14:paraId="0F1EFF61" w14:textId="77777777" w:rsidTr="008D4E13">
        <w:trPr>
          <w:trHeight w:val="290"/>
        </w:trPr>
        <w:tc>
          <w:tcPr>
            <w:tcW w:w="709" w:type="dxa"/>
            <w:tcBorders>
              <w:top w:val="nil"/>
              <w:left w:val="single" w:sz="4" w:space="0" w:color="auto"/>
              <w:bottom w:val="single" w:sz="4" w:space="0" w:color="auto"/>
              <w:right w:val="single" w:sz="4" w:space="0" w:color="auto"/>
            </w:tcBorders>
            <w:noWrap/>
            <w:hideMark/>
          </w:tcPr>
          <w:p w14:paraId="6141F9FF" w14:textId="77777777" w:rsidR="00335F8E" w:rsidRPr="001832E9" w:rsidRDefault="00335F8E" w:rsidP="008D4E13">
            <w:pPr>
              <w:rPr>
                <w:rFonts w:cstheme="minorHAnsi"/>
                <w:sz w:val="21"/>
                <w:szCs w:val="20"/>
              </w:rPr>
            </w:pPr>
            <w:r w:rsidRPr="001832E9">
              <w:rPr>
                <w:rFonts w:cstheme="minorHAnsi"/>
                <w:sz w:val="21"/>
                <w:szCs w:val="20"/>
              </w:rPr>
              <w:t>#2</w:t>
            </w:r>
          </w:p>
        </w:tc>
        <w:tc>
          <w:tcPr>
            <w:tcW w:w="7349" w:type="dxa"/>
            <w:tcBorders>
              <w:top w:val="nil"/>
              <w:left w:val="nil"/>
              <w:bottom w:val="single" w:sz="4" w:space="0" w:color="auto"/>
              <w:right w:val="single" w:sz="4" w:space="0" w:color="auto"/>
            </w:tcBorders>
            <w:noWrap/>
            <w:hideMark/>
          </w:tcPr>
          <w:p w14:paraId="3B209A3B"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MeSH descriptor: [Lymphoma, Large B-Cell,  Diffuse] explode all trees</w:t>
            </w:r>
          </w:p>
        </w:tc>
        <w:tc>
          <w:tcPr>
            <w:tcW w:w="1439" w:type="dxa"/>
            <w:tcBorders>
              <w:top w:val="nil"/>
              <w:left w:val="nil"/>
              <w:bottom w:val="single" w:sz="4" w:space="0" w:color="auto"/>
              <w:right w:val="single" w:sz="4" w:space="0" w:color="auto"/>
            </w:tcBorders>
            <w:noWrap/>
            <w:hideMark/>
          </w:tcPr>
          <w:p w14:paraId="6CC9A72B" w14:textId="77777777" w:rsidR="00335F8E" w:rsidRPr="001832E9" w:rsidRDefault="00335F8E" w:rsidP="008D4E13">
            <w:pPr>
              <w:rPr>
                <w:rFonts w:cstheme="minorHAnsi"/>
                <w:sz w:val="21"/>
                <w:szCs w:val="20"/>
              </w:rPr>
            </w:pPr>
            <w:r w:rsidRPr="001832E9">
              <w:rPr>
                <w:rFonts w:cstheme="minorHAnsi"/>
                <w:sz w:val="21"/>
                <w:szCs w:val="20"/>
              </w:rPr>
              <w:t>705</w:t>
            </w:r>
          </w:p>
        </w:tc>
      </w:tr>
      <w:tr w:rsidR="00335F8E" w:rsidRPr="001832E9" w14:paraId="22E1BC5A" w14:textId="77777777" w:rsidTr="008D4E13">
        <w:trPr>
          <w:trHeight w:val="290"/>
        </w:trPr>
        <w:tc>
          <w:tcPr>
            <w:tcW w:w="709" w:type="dxa"/>
            <w:tcBorders>
              <w:top w:val="nil"/>
              <w:left w:val="single" w:sz="4" w:space="0" w:color="auto"/>
              <w:bottom w:val="single" w:sz="4" w:space="0" w:color="auto"/>
              <w:right w:val="single" w:sz="4" w:space="0" w:color="auto"/>
            </w:tcBorders>
            <w:noWrap/>
            <w:hideMark/>
          </w:tcPr>
          <w:p w14:paraId="3337EF4D" w14:textId="77777777" w:rsidR="00335F8E" w:rsidRPr="001832E9" w:rsidRDefault="00335F8E" w:rsidP="008D4E13">
            <w:pPr>
              <w:rPr>
                <w:rFonts w:cstheme="minorHAnsi"/>
                <w:sz w:val="21"/>
                <w:szCs w:val="20"/>
              </w:rPr>
            </w:pPr>
            <w:r w:rsidRPr="001832E9">
              <w:rPr>
                <w:rFonts w:cstheme="minorHAnsi"/>
                <w:sz w:val="21"/>
                <w:szCs w:val="20"/>
              </w:rPr>
              <w:t>#3</w:t>
            </w:r>
          </w:p>
        </w:tc>
        <w:tc>
          <w:tcPr>
            <w:tcW w:w="7349" w:type="dxa"/>
            <w:tcBorders>
              <w:top w:val="nil"/>
              <w:left w:val="nil"/>
              <w:bottom w:val="single" w:sz="4" w:space="0" w:color="auto"/>
              <w:right w:val="single" w:sz="4" w:space="0" w:color="auto"/>
            </w:tcBorders>
            <w:noWrap/>
            <w:hideMark/>
          </w:tcPr>
          <w:p w14:paraId="03E42642"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MeSH descriptor: [Lymphoma,  B-Cell] explode all trees</w:t>
            </w:r>
          </w:p>
        </w:tc>
        <w:tc>
          <w:tcPr>
            <w:tcW w:w="1439" w:type="dxa"/>
            <w:tcBorders>
              <w:top w:val="nil"/>
              <w:left w:val="nil"/>
              <w:bottom w:val="single" w:sz="4" w:space="0" w:color="auto"/>
              <w:right w:val="single" w:sz="4" w:space="0" w:color="auto"/>
            </w:tcBorders>
            <w:noWrap/>
            <w:hideMark/>
          </w:tcPr>
          <w:p w14:paraId="629C57D0" w14:textId="77777777" w:rsidR="00335F8E" w:rsidRPr="001832E9" w:rsidRDefault="00335F8E" w:rsidP="008D4E13">
            <w:pPr>
              <w:rPr>
                <w:rFonts w:cstheme="minorHAnsi"/>
                <w:sz w:val="21"/>
                <w:szCs w:val="20"/>
              </w:rPr>
            </w:pPr>
            <w:r w:rsidRPr="001832E9">
              <w:rPr>
                <w:rFonts w:cstheme="minorHAnsi"/>
                <w:sz w:val="21"/>
                <w:szCs w:val="20"/>
              </w:rPr>
              <w:t>1142</w:t>
            </w:r>
          </w:p>
        </w:tc>
      </w:tr>
      <w:tr w:rsidR="00335F8E" w:rsidRPr="001832E9" w14:paraId="72CB806C" w14:textId="77777777" w:rsidTr="008D4E13">
        <w:trPr>
          <w:trHeight w:val="290"/>
        </w:trPr>
        <w:tc>
          <w:tcPr>
            <w:tcW w:w="709" w:type="dxa"/>
            <w:tcBorders>
              <w:top w:val="nil"/>
              <w:left w:val="single" w:sz="4" w:space="0" w:color="auto"/>
              <w:bottom w:val="single" w:sz="4" w:space="0" w:color="auto"/>
              <w:right w:val="single" w:sz="4" w:space="0" w:color="auto"/>
            </w:tcBorders>
            <w:noWrap/>
            <w:hideMark/>
          </w:tcPr>
          <w:p w14:paraId="490390DA" w14:textId="77777777" w:rsidR="00335F8E" w:rsidRPr="001832E9" w:rsidRDefault="00335F8E" w:rsidP="008D4E13">
            <w:pPr>
              <w:rPr>
                <w:rFonts w:cstheme="minorHAnsi"/>
                <w:sz w:val="21"/>
                <w:szCs w:val="20"/>
              </w:rPr>
            </w:pPr>
            <w:r w:rsidRPr="001832E9">
              <w:rPr>
                <w:rFonts w:cstheme="minorHAnsi"/>
                <w:sz w:val="21"/>
                <w:szCs w:val="20"/>
              </w:rPr>
              <w:t>#4</w:t>
            </w:r>
          </w:p>
        </w:tc>
        <w:tc>
          <w:tcPr>
            <w:tcW w:w="7349" w:type="dxa"/>
            <w:tcBorders>
              <w:top w:val="nil"/>
              <w:left w:val="nil"/>
              <w:bottom w:val="single" w:sz="4" w:space="0" w:color="auto"/>
              <w:right w:val="single" w:sz="4" w:space="0" w:color="auto"/>
            </w:tcBorders>
            <w:noWrap/>
            <w:hideMark/>
          </w:tcPr>
          <w:p w14:paraId="28D8D1F7" w14:textId="77777777" w:rsidR="00335F8E" w:rsidRPr="001832E9" w:rsidRDefault="00335F8E" w:rsidP="008D4E13">
            <w:pPr>
              <w:jc w:val="left"/>
              <w:rPr>
                <w:rFonts w:cstheme="minorHAnsi"/>
                <w:sz w:val="21"/>
                <w:szCs w:val="20"/>
              </w:rPr>
            </w:pPr>
            <w:r w:rsidRPr="001832E9">
              <w:rPr>
                <w:rFonts w:cstheme="minorHAnsi"/>
                <w:sz w:val="21"/>
                <w:szCs w:val="20"/>
              </w:rPr>
              <w:t>(("CAR T") OR ("CAR-T")) OR "chimeric antigen receptor T-cell NEXT therap" OR (tisagenlecleucel) OR (tisa-cel) OR (tisacel) OR (tisa NEXT cel) OR (Kymriah) OR (axicabtagene* NEXT ciloleucel) OR ("axicabtagene ciloleucel") OR “axi-cel” OR axicel OR (axi NEXT cel) OR (Yescarta) OR ("lisocabtagene maraleucel") OR (lisocabtagene maraleucel) OR (liso-cel) OR (lisocel) OR (liso  NEXT cel) OR (Breyanzi)</w:t>
            </w:r>
          </w:p>
        </w:tc>
        <w:tc>
          <w:tcPr>
            <w:tcW w:w="1439" w:type="dxa"/>
            <w:tcBorders>
              <w:top w:val="nil"/>
              <w:left w:val="nil"/>
              <w:bottom w:val="single" w:sz="4" w:space="0" w:color="auto"/>
              <w:right w:val="single" w:sz="4" w:space="0" w:color="auto"/>
            </w:tcBorders>
            <w:noWrap/>
            <w:hideMark/>
          </w:tcPr>
          <w:p w14:paraId="20FBB13F" w14:textId="77777777" w:rsidR="00335F8E" w:rsidRPr="001832E9" w:rsidRDefault="00335F8E" w:rsidP="008D4E13">
            <w:pPr>
              <w:rPr>
                <w:rFonts w:cstheme="minorHAnsi"/>
                <w:sz w:val="21"/>
                <w:szCs w:val="20"/>
              </w:rPr>
            </w:pPr>
            <w:r w:rsidRPr="001832E9">
              <w:rPr>
                <w:rFonts w:cstheme="minorHAnsi"/>
                <w:sz w:val="21"/>
                <w:szCs w:val="20"/>
              </w:rPr>
              <w:t>600</w:t>
            </w:r>
          </w:p>
        </w:tc>
      </w:tr>
      <w:tr w:rsidR="00335F8E" w:rsidRPr="001832E9" w14:paraId="67B7C9AE" w14:textId="77777777" w:rsidTr="008D4E13">
        <w:trPr>
          <w:trHeight w:val="290"/>
        </w:trPr>
        <w:tc>
          <w:tcPr>
            <w:tcW w:w="709" w:type="dxa"/>
            <w:tcBorders>
              <w:top w:val="nil"/>
              <w:left w:val="single" w:sz="4" w:space="0" w:color="auto"/>
              <w:bottom w:val="single" w:sz="4" w:space="0" w:color="auto"/>
              <w:right w:val="single" w:sz="4" w:space="0" w:color="auto"/>
            </w:tcBorders>
            <w:noWrap/>
            <w:hideMark/>
          </w:tcPr>
          <w:p w14:paraId="040A9477" w14:textId="77777777" w:rsidR="00335F8E" w:rsidRPr="001832E9" w:rsidRDefault="00335F8E" w:rsidP="008D4E13">
            <w:pPr>
              <w:rPr>
                <w:rFonts w:cstheme="minorHAnsi"/>
                <w:sz w:val="21"/>
                <w:szCs w:val="20"/>
              </w:rPr>
            </w:pPr>
            <w:r w:rsidRPr="001832E9">
              <w:rPr>
                <w:rFonts w:cstheme="minorHAnsi"/>
                <w:sz w:val="21"/>
                <w:szCs w:val="20"/>
              </w:rPr>
              <w:t>#5</w:t>
            </w:r>
          </w:p>
        </w:tc>
        <w:tc>
          <w:tcPr>
            <w:tcW w:w="7349" w:type="dxa"/>
            <w:tcBorders>
              <w:top w:val="nil"/>
              <w:left w:val="nil"/>
              <w:bottom w:val="single" w:sz="4" w:space="0" w:color="auto"/>
              <w:right w:val="single" w:sz="4" w:space="0" w:color="auto"/>
            </w:tcBorders>
            <w:noWrap/>
            <w:hideMark/>
          </w:tcPr>
          <w:p w14:paraId="24EE5BFE"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MeSH descriptor: [Immunotherapy,  Adoptive] explode all trees</w:t>
            </w:r>
          </w:p>
        </w:tc>
        <w:tc>
          <w:tcPr>
            <w:tcW w:w="1439" w:type="dxa"/>
            <w:tcBorders>
              <w:top w:val="nil"/>
              <w:left w:val="nil"/>
              <w:bottom w:val="single" w:sz="4" w:space="0" w:color="auto"/>
              <w:right w:val="single" w:sz="4" w:space="0" w:color="auto"/>
            </w:tcBorders>
            <w:noWrap/>
            <w:hideMark/>
          </w:tcPr>
          <w:p w14:paraId="674BF30B" w14:textId="77777777" w:rsidR="00335F8E" w:rsidRPr="001832E9" w:rsidRDefault="00335F8E" w:rsidP="008D4E13">
            <w:pPr>
              <w:rPr>
                <w:rFonts w:cstheme="minorHAnsi"/>
                <w:sz w:val="21"/>
                <w:szCs w:val="20"/>
              </w:rPr>
            </w:pPr>
            <w:r w:rsidRPr="001832E9">
              <w:rPr>
                <w:rFonts w:cstheme="minorHAnsi"/>
                <w:sz w:val="21"/>
                <w:szCs w:val="20"/>
              </w:rPr>
              <w:t>212</w:t>
            </w:r>
          </w:p>
        </w:tc>
      </w:tr>
      <w:tr w:rsidR="00335F8E" w:rsidRPr="001832E9" w14:paraId="0FFDB56F"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noWrap/>
            <w:hideMark/>
          </w:tcPr>
          <w:p w14:paraId="10C10C81" w14:textId="77777777" w:rsidR="00335F8E" w:rsidRPr="001832E9" w:rsidRDefault="00335F8E" w:rsidP="008D4E13">
            <w:pPr>
              <w:rPr>
                <w:rFonts w:cstheme="minorHAnsi"/>
                <w:sz w:val="21"/>
                <w:szCs w:val="20"/>
              </w:rPr>
            </w:pPr>
            <w:r w:rsidRPr="001832E9">
              <w:rPr>
                <w:rFonts w:cstheme="minorHAnsi"/>
                <w:sz w:val="21"/>
                <w:szCs w:val="20"/>
              </w:rPr>
              <w:t>#6</w:t>
            </w:r>
          </w:p>
        </w:tc>
        <w:tc>
          <w:tcPr>
            <w:tcW w:w="7349" w:type="dxa"/>
            <w:tcBorders>
              <w:top w:val="single" w:sz="4" w:space="0" w:color="auto"/>
              <w:left w:val="nil"/>
              <w:bottom w:val="single" w:sz="4" w:space="0" w:color="auto"/>
              <w:right w:val="single" w:sz="4" w:space="0" w:color="auto"/>
            </w:tcBorders>
            <w:noWrap/>
            <w:hideMark/>
          </w:tcPr>
          <w:p w14:paraId="590960BE"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(("indirect NEXT comparison") OR ("indirect" NEXT "comparison"))  OR (("treatment" AND "comparison")) OR "simulated treatment NEXT comparison" OR STC OR "network meta NEXT analys" OR "network-meta NEXT analys" OR NMA OR "adjusted NEXT comparison" OR (("adjusted" NEXT "comparison")) OR "matching adjusted indirect NEXT comparison" OR "comparing efficacy" OR "real world NEXT comparison" OR "comparative efficacy"</w:t>
            </w:r>
          </w:p>
        </w:tc>
        <w:tc>
          <w:tcPr>
            <w:tcW w:w="1439" w:type="dxa"/>
            <w:tcBorders>
              <w:top w:val="single" w:sz="4" w:space="0" w:color="auto"/>
              <w:left w:val="nil"/>
              <w:bottom w:val="single" w:sz="4" w:space="0" w:color="auto"/>
              <w:right w:val="single" w:sz="4" w:space="0" w:color="auto"/>
            </w:tcBorders>
            <w:noWrap/>
            <w:hideMark/>
          </w:tcPr>
          <w:p w14:paraId="57D1357C" w14:textId="77777777" w:rsidR="00335F8E" w:rsidRPr="001832E9" w:rsidRDefault="00335F8E" w:rsidP="008D4E13">
            <w:pPr>
              <w:rPr>
                <w:rFonts w:cstheme="minorHAnsi"/>
                <w:sz w:val="21"/>
                <w:szCs w:val="20"/>
              </w:rPr>
            </w:pPr>
            <w:r w:rsidRPr="001832E9">
              <w:rPr>
                <w:rFonts w:cstheme="minorHAnsi"/>
                <w:sz w:val="21"/>
                <w:szCs w:val="20"/>
              </w:rPr>
              <w:t>140415</w:t>
            </w:r>
          </w:p>
        </w:tc>
      </w:tr>
      <w:tr w:rsidR="00335F8E" w:rsidRPr="001832E9" w14:paraId="60937D53"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noWrap/>
          </w:tcPr>
          <w:p w14:paraId="13261F92" w14:textId="77777777" w:rsidR="00335F8E" w:rsidRPr="001832E9" w:rsidRDefault="00335F8E" w:rsidP="008D4E13">
            <w:pPr>
              <w:rPr>
                <w:rFonts w:cstheme="minorHAnsi"/>
                <w:sz w:val="21"/>
                <w:szCs w:val="20"/>
              </w:rPr>
            </w:pPr>
            <w:r w:rsidRPr="001832E9">
              <w:rPr>
                <w:rFonts w:cstheme="minorHAnsi"/>
                <w:sz w:val="21"/>
                <w:szCs w:val="20"/>
              </w:rPr>
              <w:t>#7</w:t>
            </w:r>
          </w:p>
        </w:tc>
        <w:tc>
          <w:tcPr>
            <w:tcW w:w="7349" w:type="dxa"/>
            <w:tcBorders>
              <w:top w:val="single" w:sz="4" w:space="0" w:color="auto"/>
              <w:left w:val="nil"/>
              <w:bottom w:val="single" w:sz="4" w:space="0" w:color="auto"/>
              <w:right w:val="single" w:sz="4" w:space="0" w:color="auto"/>
            </w:tcBorders>
            <w:noWrap/>
          </w:tcPr>
          <w:p w14:paraId="3895D904"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MeSH descriptor: [Network Meta-Analysis] explode all trees</w:t>
            </w:r>
          </w:p>
        </w:tc>
        <w:tc>
          <w:tcPr>
            <w:tcW w:w="1439" w:type="dxa"/>
            <w:tcBorders>
              <w:top w:val="single" w:sz="4" w:space="0" w:color="auto"/>
              <w:left w:val="nil"/>
              <w:bottom w:val="single" w:sz="4" w:space="0" w:color="auto"/>
              <w:right w:val="single" w:sz="4" w:space="0" w:color="auto"/>
            </w:tcBorders>
            <w:noWrap/>
          </w:tcPr>
          <w:p w14:paraId="67B33209" w14:textId="77777777" w:rsidR="00335F8E" w:rsidRPr="001832E9" w:rsidRDefault="00335F8E" w:rsidP="008D4E13">
            <w:pPr>
              <w:rPr>
                <w:rFonts w:cstheme="minorHAnsi"/>
                <w:sz w:val="21"/>
                <w:szCs w:val="20"/>
              </w:rPr>
            </w:pPr>
            <w:r w:rsidRPr="001832E9">
              <w:rPr>
                <w:rFonts w:cstheme="minorHAnsi"/>
                <w:sz w:val="21"/>
                <w:szCs w:val="20"/>
              </w:rPr>
              <w:t>45</w:t>
            </w:r>
          </w:p>
        </w:tc>
      </w:tr>
      <w:tr w:rsidR="00335F8E" w:rsidRPr="001832E9" w14:paraId="36C3573A"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noWrap/>
          </w:tcPr>
          <w:p w14:paraId="153BD53D" w14:textId="77777777" w:rsidR="00335F8E" w:rsidRPr="001832E9" w:rsidRDefault="00335F8E" w:rsidP="008D4E13">
            <w:pPr>
              <w:rPr>
                <w:rFonts w:cstheme="minorHAnsi"/>
                <w:sz w:val="21"/>
                <w:szCs w:val="20"/>
              </w:rPr>
            </w:pPr>
            <w:r w:rsidRPr="001832E9">
              <w:rPr>
                <w:rFonts w:cstheme="minorHAnsi"/>
                <w:sz w:val="21"/>
                <w:szCs w:val="20"/>
              </w:rPr>
              <w:t>#8</w:t>
            </w:r>
          </w:p>
        </w:tc>
        <w:tc>
          <w:tcPr>
            <w:tcW w:w="7349" w:type="dxa"/>
            <w:tcBorders>
              <w:top w:val="single" w:sz="4" w:space="0" w:color="auto"/>
              <w:left w:val="nil"/>
              <w:bottom w:val="single" w:sz="4" w:space="0" w:color="auto"/>
              <w:right w:val="single" w:sz="4" w:space="0" w:color="auto"/>
            </w:tcBorders>
            <w:noWrap/>
          </w:tcPr>
          <w:p w14:paraId="337030D8"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MeSH descriptor: [Network Meta-Analysis as Topic] explode all trees</w:t>
            </w:r>
          </w:p>
        </w:tc>
        <w:tc>
          <w:tcPr>
            <w:tcW w:w="1439" w:type="dxa"/>
            <w:tcBorders>
              <w:top w:val="single" w:sz="4" w:space="0" w:color="auto"/>
              <w:left w:val="nil"/>
              <w:bottom w:val="single" w:sz="4" w:space="0" w:color="auto"/>
              <w:right w:val="single" w:sz="4" w:space="0" w:color="auto"/>
            </w:tcBorders>
            <w:noWrap/>
          </w:tcPr>
          <w:p w14:paraId="720EA455" w14:textId="77777777" w:rsidR="00335F8E" w:rsidRPr="001832E9" w:rsidRDefault="00335F8E" w:rsidP="008D4E13">
            <w:pPr>
              <w:rPr>
                <w:rFonts w:cstheme="minorHAnsi"/>
                <w:sz w:val="21"/>
                <w:szCs w:val="20"/>
              </w:rPr>
            </w:pPr>
            <w:r w:rsidRPr="001832E9">
              <w:rPr>
                <w:rFonts w:cstheme="minorHAnsi"/>
                <w:sz w:val="21"/>
                <w:szCs w:val="20"/>
              </w:rPr>
              <w:t>17</w:t>
            </w:r>
          </w:p>
        </w:tc>
      </w:tr>
      <w:tr w:rsidR="00335F8E" w:rsidRPr="001832E9" w14:paraId="335A404E"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noWrap/>
          </w:tcPr>
          <w:p w14:paraId="7EF619C4" w14:textId="77777777" w:rsidR="00335F8E" w:rsidRPr="001832E9" w:rsidRDefault="00335F8E" w:rsidP="008D4E13">
            <w:pPr>
              <w:rPr>
                <w:rFonts w:cstheme="minorHAnsi"/>
                <w:sz w:val="21"/>
                <w:szCs w:val="20"/>
              </w:rPr>
            </w:pPr>
            <w:r w:rsidRPr="001832E9">
              <w:rPr>
                <w:rFonts w:cstheme="minorHAnsi"/>
                <w:sz w:val="21"/>
                <w:szCs w:val="20"/>
              </w:rPr>
              <w:t>#9</w:t>
            </w:r>
          </w:p>
        </w:tc>
        <w:tc>
          <w:tcPr>
            <w:tcW w:w="7349" w:type="dxa"/>
            <w:tcBorders>
              <w:top w:val="single" w:sz="4" w:space="0" w:color="auto"/>
              <w:left w:val="nil"/>
              <w:bottom w:val="single" w:sz="4" w:space="0" w:color="auto"/>
              <w:right w:val="single" w:sz="4" w:space="0" w:color="auto"/>
            </w:tcBorders>
            <w:noWrap/>
          </w:tcPr>
          <w:p w14:paraId="42478244"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MeSH descriptor: [Propensity Score] explode all trees</w:t>
            </w:r>
          </w:p>
        </w:tc>
        <w:tc>
          <w:tcPr>
            <w:tcW w:w="1439" w:type="dxa"/>
            <w:tcBorders>
              <w:top w:val="single" w:sz="4" w:space="0" w:color="auto"/>
              <w:left w:val="nil"/>
              <w:bottom w:val="single" w:sz="4" w:space="0" w:color="auto"/>
              <w:right w:val="single" w:sz="4" w:space="0" w:color="auto"/>
            </w:tcBorders>
            <w:noWrap/>
          </w:tcPr>
          <w:p w14:paraId="4C5D5387" w14:textId="77777777" w:rsidR="00335F8E" w:rsidRPr="001832E9" w:rsidRDefault="00335F8E" w:rsidP="008D4E13">
            <w:pPr>
              <w:rPr>
                <w:rFonts w:cstheme="minorHAnsi"/>
                <w:sz w:val="21"/>
                <w:szCs w:val="20"/>
              </w:rPr>
            </w:pPr>
            <w:r w:rsidRPr="001832E9">
              <w:rPr>
                <w:rFonts w:cstheme="minorHAnsi"/>
                <w:sz w:val="21"/>
                <w:szCs w:val="20"/>
              </w:rPr>
              <w:t>782</w:t>
            </w:r>
          </w:p>
        </w:tc>
      </w:tr>
      <w:tr w:rsidR="00335F8E" w:rsidRPr="001832E9" w14:paraId="7F68C2F9"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noWrap/>
          </w:tcPr>
          <w:p w14:paraId="2861B725" w14:textId="77777777" w:rsidR="00335F8E" w:rsidRPr="001832E9" w:rsidRDefault="00335F8E" w:rsidP="008D4E13">
            <w:pPr>
              <w:rPr>
                <w:rFonts w:cstheme="minorHAnsi"/>
                <w:sz w:val="21"/>
                <w:szCs w:val="20"/>
              </w:rPr>
            </w:pPr>
            <w:r w:rsidRPr="001832E9">
              <w:rPr>
                <w:rFonts w:cstheme="minorHAnsi"/>
                <w:sz w:val="21"/>
                <w:szCs w:val="20"/>
              </w:rPr>
              <w:t>#10</w:t>
            </w:r>
          </w:p>
        </w:tc>
        <w:tc>
          <w:tcPr>
            <w:tcW w:w="7349" w:type="dxa"/>
            <w:tcBorders>
              <w:top w:val="single" w:sz="4" w:space="0" w:color="auto"/>
              <w:left w:val="nil"/>
              <w:bottom w:val="single" w:sz="4" w:space="0" w:color="auto"/>
              <w:right w:val="single" w:sz="4" w:space="0" w:color="auto"/>
            </w:tcBorders>
            <w:noWrap/>
          </w:tcPr>
          <w:p w14:paraId="47BBD2DE" w14:textId="77777777" w:rsidR="00335F8E" w:rsidRPr="001832E9" w:rsidRDefault="00335F8E" w:rsidP="008D4E13">
            <w:pPr>
              <w:jc w:val="left"/>
              <w:rPr>
                <w:rFonts w:cstheme="minorHAnsi"/>
                <w:sz w:val="21"/>
                <w:szCs w:val="20"/>
                <w:lang w:val="en-US"/>
              </w:rPr>
            </w:pPr>
            <w:r w:rsidRPr="001832E9">
              <w:rPr>
                <w:rFonts w:cstheme="minorHAnsi"/>
                <w:sz w:val="21"/>
                <w:szCs w:val="20"/>
                <w:lang w:val="en-US"/>
              </w:rPr>
              <w:t>(#1 OR #2 OR #3) AND (#4 OR #5) AND (#6 OR #7 OR #8 OR #9)</w:t>
            </w:r>
          </w:p>
        </w:tc>
        <w:tc>
          <w:tcPr>
            <w:tcW w:w="1439" w:type="dxa"/>
            <w:tcBorders>
              <w:top w:val="single" w:sz="4" w:space="0" w:color="auto"/>
              <w:left w:val="nil"/>
              <w:bottom w:val="single" w:sz="4" w:space="0" w:color="auto"/>
              <w:right w:val="single" w:sz="4" w:space="0" w:color="auto"/>
            </w:tcBorders>
            <w:noWrap/>
          </w:tcPr>
          <w:p w14:paraId="0B9572FB" w14:textId="77777777" w:rsidR="00335F8E" w:rsidRPr="001832E9" w:rsidRDefault="00335F8E" w:rsidP="008D4E13">
            <w:pPr>
              <w:rPr>
                <w:rFonts w:cstheme="minorHAnsi"/>
                <w:sz w:val="21"/>
                <w:szCs w:val="20"/>
              </w:rPr>
            </w:pPr>
            <w:r w:rsidRPr="001832E9">
              <w:rPr>
                <w:rFonts w:cstheme="minorHAnsi"/>
                <w:sz w:val="21"/>
                <w:szCs w:val="20"/>
              </w:rPr>
              <w:t>21</w:t>
            </w:r>
          </w:p>
        </w:tc>
      </w:tr>
      <w:tr w:rsidR="00335F8E" w:rsidRPr="001832E9" w14:paraId="17955D65"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710CC8B5" w14:textId="77777777" w:rsidR="00335F8E" w:rsidRPr="001832E9" w:rsidRDefault="00335F8E" w:rsidP="008D4E13">
            <w:pPr>
              <w:rPr>
                <w:rFonts w:cstheme="minorHAnsi"/>
                <w:sz w:val="21"/>
                <w:szCs w:val="20"/>
              </w:rPr>
            </w:pPr>
          </w:p>
        </w:tc>
        <w:tc>
          <w:tcPr>
            <w:tcW w:w="7349" w:type="dxa"/>
            <w:tcBorders>
              <w:top w:val="single" w:sz="4" w:space="0" w:color="auto"/>
              <w:left w:val="nil"/>
              <w:bottom w:val="single" w:sz="4" w:space="0" w:color="auto"/>
              <w:right w:val="single" w:sz="4" w:space="0" w:color="auto"/>
            </w:tcBorders>
            <w:shd w:val="clear" w:color="auto" w:fill="D9D9D9" w:themeFill="background1" w:themeFillShade="D9"/>
            <w:noWrap/>
          </w:tcPr>
          <w:p w14:paraId="127CCA82" w14:textId="77777777" w:rsidR="00335F8E" w:rsidRPr="001832E9" w:rsidRDefault="00335F8E" w:rsidP="008D4E13">
            <w:pPr>
              <w:jc w:val="left"/>
              <w:rPr>
                <w:rFonts w:cstheme="minorHAnsi"/>
                <w:sz w:val="21"/>
                <w:szCs w:val="20"/>
                <w:lang w:val="en-US"/>
              </w:rPr>
            </w:pPr>
            <w:r w:rsidRPr="001832E9">
              <w:rPr>
                <w:rFonts w:cstheme="minorHAnsi"/>
                <w:sz w:val="21"/>
                <w:szCs w:val="20"/>
              </w:rPr>
              <w:t>in trials</w:t>
            </w:r>
          </w:p>
        </w:tc>
        <w:tc>
          <w:tcPr>
            <w:tcW w:w="1439" w:type="dxa"/>
            <w:tcBorders>
              <w:top w:val="single" w:sz="4" w:space="0" w:color="auto"/>
              <w:left w:val="nil"/>
              <w:bottom w:val="single" w:sz="4" w:space="0" w:color="auto"/>
              <w:right w:val="single" w:sz="4" w:space="0" w:color="auto"/>
            </w:tcBorders>
            <w:shd w:val="clear" w:color="auto" w:fill="D9D9D9" w:themeFill="background1" w:themeFillShade="D9"/>
            <w:noWrap/>
          </w:tcPr>
          <w:p w14:paraId="58718F5A" w14:textId="77777777" w:rsidR="00335F8E" w:rsidRPr="001832E9" w:rsidRDefault="00335F8E" w:rsidP="008D4E13">
            <w:pPr>
              <w:rPr>
                <w:rFonts w:cstheme="minorHAnsi"/>
                <w:sz w:val="21"/>
                <w:szCs w:val="20"/>
              </w:rPr>
            </w:pPr>
            <w:r w:rsidRPr="001832E9">
              <w:rPr>
                <w:rFonts w:cstheme="minorHAnsi"/>
                <w:sz w:val="21"/>
                <w:szCs w:val="20"/>
              </w:rPr>
              <w:t>19</w:t>
            </w:r>
          </w:p>
        </w:tc>
      </w:tr>
      <w:tr w:rsidR="00335F8E" w:rsidRPr="001832E9" w14:paraId="1BEA6755"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582C9C2B" w14:textId="77777777" w:rsidR="00335F8E" w:rsidRPr="001832E9" w:rsidRDefault="00335F8E" w:rsidP="008D4E13">
            <w:pPr>
              <w:rPr>
                <w:rFonts w:cstheme="minorHAnsi"/>
                <w:sz w:val="21"/>
                <w:szCs w:val="20"/>
              </w:rPr>
            </w:pPr>
          </w:p>
        </w:tc>
        <w:tc>
          <w:tcPr>
            <w:tcW w:w="7349" w:type="dxa"/>
            <w:tcBorders>
              <w:top w:val="single" w:sz="4" w:space="0" w:color="auto"/>
              <w:left w:val="nil"/>
              <w:bottom w:val="single" w:sz="4" w:space="0" w:color="auto"/>
              <w:right w:val="single" w:sz="4" w:space="0" w:color="auto"/>
            </w:tcBorders>
            <w:shd w:val="clear" w:color="auto" w:fill="D9D9D9" w:themeFill="background1" w:themeFillShade="D9"/>
            <w:noWrap/>
          </w:tcPr>
          <w:p w14:paraId="42700B77" w14:textId="77777777" w:rsidR="00335F8E" w:rsidRPr="001832E9" w:rsidRDefault="00335F8E" w:rsidP="008D4E13">
            <w:pPr>
              <w:jc w:val="left"/>
              <w:rPr>
                <w:rFonts w:cstheme="minorHAnsi"/>
                <w:sz w:val="21"/>
                <w:szCs w:val="20"/>
                <w:lang w:val="en-US"/>
              </w:rPr>
            </w:pPr>
            <w:r w:rsidRPr="001832E9">
              <w:rPr>
                <w:rFonts w:cstheme="minorHAnsi"/>
                <w:sz w:val="21"/>
                <w:szCs w:val="20"/>
              </w:rPr>
              <w:t>in reviews</w:t>
            </w:r>
          </w:p>
        </w:tc>
        <w:tc>
          <w:tcPr>
            <w:tcW w:w="1439" w:type="dxa"/>
            <w:tcBorders>
              <w:top w:val="single" w:sz="4" w:space="0" w:color="auto"/>
              <w:left w:val="nil"/>
              <w:bottom w:val="single" w:sz="4" w:space="0" w:color="auto"/>
              <w:right w:val="single" w:sz="4" w:space="0" w:color="auto"/>
            </w:tcBorders>
            <w:shd w:val="clear" w:color="auto" w:fill="D9D9D9" w:themeFill="background1" w:themeFillShade="D9"/>
            <w:noWrap/>
          </w:tcPr>
          <w:p w14:paraId="5F74B902" w14:textId="77777777" w:rsidR="00335F8E" w:rsidRPr="001832E9" w:rsidRDefault="00335F8E" w:rsidP="008D4E13">
            <w:pPr>
              <w:rPr>
                <w:rFonts w:cstheme="minorHAnsi"/>
                <w:sz w:val="21"/>
                <w:szCs w:val="20"/>
              </w:rPr>
            </w:pPr>
            <w:r w:rsidRPr="001832E9">
              <w:rPr>
                <w:rFonts w:cstheme="minorHAnsi"/>
                <w:sz w:val="21"/>
                <w:szCs w:val="20"/>
              </w:rPr>
              <w:t>1</w:t>
            </w:r>
          </w:p>
        </w:tc>
      </w:tr>
      <w:tr w:rsidR="00335F8E" w:rsidRPr="001832E9" w14:paraId="18C47C03" w14:textId="77777777" w:rsidTr="008D4E13">
        <w:trPr>
          <w:trHeight w:val="290"/>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0A8AE70C" w14:textId="77777777" w:rsidR="00335F8E" w:rsidRPr="001832E9" w:rsidRDefault="00335F8E" w:rsidP="008D4E13">
            <w:pPr>
              <w:rPr>
                <w:rFonts w:cstheme="minorHAnsi"/>
                <w:sz w:val="21"/>
                <w:szCs w:val="20"/>
              </w:rPr>
            </w:pPr>
          </w:p>
        </w:tc>
        <w:tc>
          <w:tcPr>
            <w:tcW w:w="7349" w:type="dxa"/>
            <w:tcBorders>
              <w:top w:val="single" w:sz="4" w:space="0" w:color="auto"/>
              <w:left w:val="nil"/>
              <w:bottom w:val="single" w:sz="4" w:space="0" w:color="auto"/>
              <w:right w:val="single" w:sz="4" w:space="0" w:color="auto"/>
            </w:tcBorders>
            <w:shd w:val="clear" w:color="auto" w:fill="D9D9D9" w:themeFill="background1" w:themeFillShade="D9"/>
            <w:noWrap/>
          </w:tcPr>
          <w:p w14:paraId="0DCE6F8F" w14:textId="77777777" w:rsidR="00335F8E" w:rsidRPr="001832E9" w:rsidRDefault="00335F8E" w:rsidP="008D4E13">
            <w:pPr>
              <w:jc w:val="left"/>
              <w:rPr>
                <w:rFonts w:cstheme="minorHAnsi"/>
                <w:sz w:val="21"/>
                <w:szCs w:val="20"/>
                <w:lang w:val="en-US"/>
              </w:rPr>
            </w:pPr>
            <w:r w:rsidRPr="001832E9">
              <w:rPr>
                <w:rFonts w:cstheme="minorHAnsi"/>
                <w:sz w:val="21"/>
                <w:szCs w:val="20"/>
              </w:rPr>
              <w:t>in protocols</w:t>
            </w:r>
          </w:p>
        </w:tc>
        <w:tc>
          <w:tcPr>
            <w:tcW w:w="1439" w:type="dxa"/>
            <w:tcBorders>
              <w:top w:val="single" w:sz="4" w:space="0" w:color="auto"/>
              <w:left w:val="nil"/>
              <w:bottom w:val="single" w:sz="4" w:space="0" w:color="auto"/>
              <w:right w:val="single" w:sz="4" w:space="0" w:color="auto"/>
            </w:tcBorders>
            <w:shd w:val="clear" w:color="auto" w:fill="D9D9D9" w:themeFill="background1" w:themeFillShade="D9"/>
            <w:noWrap/>
          </w:tcPr>
          <w:p w14:paraId="439A7D44" w14:textId="77777777" w:rsidR="00335F8E" w:rsidRPr="001832E9" w:rsidRDefault="00335F8E" w:rsidP="008D4E13">
            <w:pPr>
              <w:rPr>
                <w:rFonts w:cstheme="minorHAnsi"/>
                <w:sz w:val="21"/>
                <w:szCs w:val="20"/>
              </w:rPr>
            </w:pPr>
            <w:r w:rsidRPr="001832E9">
              <w:rPr>
                <w:rFonts w:cstheme="minorHAnsi"/>
                <w:sz w:val="21"/>
                <w:szCs w:val="20"/>
              </w:rPr>
              <w:t>1</w:t>
            </w:r>
          </w:p>
        </w:tc>
      </w:tr>
    </w:tbl>
    <w:p w14:paraId="2EC649B4" w14:textId="1A410F2F" w:rsidR="00AC1244" w:rsidRDefault="00AC1244"/>
    <w:p w14:paraId="4CF03931" w14:textId="77777777" w:rsidR="00AC1244" w:rsidRDefault="00AC1244">
      <w:pPr>
        <w:spacing w:after="160" w:line="278" w:lineRule="auto"/>
        <w:jc w:val="left"/>
      </w:pPr>
      <w:r>
        <w:br w:type="page"/>
      </w:r>
    </w:p>
    <w:p w14:paraId="610BBC3B" w14:textId="256A350D" w:rsidR="00335F8E" w:rsidRPr="005D1100" w:rsidRDefault="00AC1244">
      <w:pPr>
        <w:rPr>
          <w:lang w:val="en-US"/>
        </w:rPr>
      </w:pPr>
      <w:r w:rsidRPr="005D1100">
        <w:rPr>
          <w:lang w:val="en-US"/>
        </w:rPr>
        <w:t xml:space="preserve">Supplementary Table 3: </w:t>
      </w:r>
      <w:r w:rsidR="005D1100" w:rsidRPr="005D1100">
        <w:rPr>
          <w:lang w:val="en-US"/>
        </w:rPr>
        <w:t xml:space="preserve">List of </w:t>
      </w:r>
      <w:r w:rsidRPr="005D1100">
        <w:rPr>
          <w:lang w:val="en-US"/>
        </w:rPr>
        <w:t>Excluded Studies</w:t>
      </w:r>
    </w:p>
    <w:p w14:paraId="4026535E" w14:textId="77777777" w:rsidR="00AC1244" w:rsidRPr="005D1100" w:rsidRDefault="00AC1244" w:rsidP="00AC1244">
      <w:pPr>
        <w:rPr>
          <w:rFonts w:cstheme="minorHAnsi"/>
          <w:lang w:val="en-US"/>
        </w:rPr>
      </w:pPr>
    </w:p>
    <w:tbl>
      <w:tblPr>
        <w:tblStyle w:val="Tabellenraster"/>
        <w:tblW w:w="9067" w:type="dxa"/>
        <w:tblLook w:val="04A0" w:firstRow="1" w:lastRow="0" w:firstColumn="1" w:lastColumn="0" w:noHBand="0" w:noVBand="1"/>
      </w:tblPr>
      <w:tblGrid>
        <w:gridCol w:w="9067"/>
      </w:tblGrid>
      <w:tr w:rsidR="005D1100" w:rsidRPr="00AC1244" w14:paraId="19CFF83C" w14:textId="77777777" w:rsidTr="005D1100">
        <w:trPr>
          <w:trHeight w:val="320"/>
        </w:trPr>
        <w:tc>
          <w:tcPr>
            <w:tcW w:w="9067" w:type="dxa"/>
            <w:noWrap/>
          </w:tcPr>
          <w:p w14:paraId="21B56892" w14:textId="7F418BE6" w:rsidR="005D1100" w:rsidRPr="00AC1244" w:rsidRDefault="005D1100" w:rsidP="00AC1244">
            <w:pPr>
              <w:jc w:val="left"/>
              <w:rPr>
                <w:rFonts w:cstheme="minorHAnsi"/>
                <w:sz w:val="21"/>
                <w:szCs w:val="20"/>
                <w:lang w:val="da-DK"/>
              </w:rPr>
            </w:pPr>
            <w:r>
              <w:rPr>
                <w:rFonts w:cstheme="minorHAnsi"/>
                <w:sz w:val="21"/>
                <w:szCs w:val="20"/>
                <w:lang w:val="da-DK"/>
              </w:rPr>
              <w:t>Study</w:t>
            </w:r>
          </w:p>
        </w:tc>
      </w:tr>
      <w:tr w:rsidR="005D1100" w:rsidRPr="00AC1244" w14:paraId="34D40D0A" w14:textId="4C4F063F" w:rsidTr="005D1100">
        <w:trPr>
          <w:trHeight w:val="320"/>
        </w:trPr>
        <w:tc>
          <w:tcPr>
            <w:tcW w:w="9067" w:type="dxa"/>
            <w:noWrap/>
            <w:hideMark/>
          </w:tcPr>
          <w:p w14:paraId="5B64606D" w14:textId="2670FE99" w:rsidR="005D1100" w:rsidRPr="00AC1244" w:rsidRDefault="005D1100" w:rsidP="00AC1244">
            <w:pPr>
              <w:jc w:val="left"/>
              <w:rPr>
                <w:rFonts w:cstheme="minorHAnsi"/>
                <w:sz w:val="21"/>
                <w:szCs w:val="20"/>
                <w:lang w:val="en-US"/>
              </w:rPr>
            </w:pPr>
            <w:r w:rsidRPr="00AC1244">
              <w:rPr>
                <w:rFonts w:cstheme="minorHAnsi"/>
                <w:sz w:val="21"/>
                <w:szCs w:val="20"/>
              </w:rPr>
              <w:t xml:space="preserve">1. AVIVI, I., PERRY, C., SEGMAN, Y., AMIT, O., BAR-ON, Y., KATZ, O. B., GOLD, R., RIBAKOVSKY, E., AVIGDOR, A., VAINSTEIN, V., GOLDSCHMIDT, N., RINGELSTEIN-HARLEV, S., HOROWITZ, N. A., GUTWEIN, O., GURION, R., ITCHAKI, G., ABADI, U., NEMETS, A., SOFER, O., VEZKER, M., TADMOR, T., DALLY, N., FILANOVSKY, K., LEIBA, M., SARID, N., BENYAMINI, N., LUTTWAK, E., HERISHANU, Y. &amp; RAM, R. 2022. </w:t>
            </w:r>
            <w:r w:rsidRPr="00AC1244">
              <w:rPr>
                <w:rFonts w:cstheme="minorHAnsi"/>
                <w:sz w:val="21"/>
                <w:szCs w:val="20"/>
                <w:lang w:val="en-US"/>
              </w:rPr>
              <w:t>Polatuzumab-based regimen or CAR T cell for patients with refractory/relapsed DLBCL-a matched cohort analysis. Ann Hematol, 101, 755-762.</w:t>
            </w:r>
          </w:p>
        </w:tc>
      </w:tr>
      <w:tr w:rsidR="005D1100" w:rsidRPr="00AC1244" w14:paraId="4B7D1F4F" w14:textId="00326128" w:rsidTr="005D1100">
        <w:trPr>
          <w:trHeight w:val="320"/>
        </w:trPr>
        <w:tc>
          <w:tcPr>
            <w:tcW w:w="9067" w:type="dxa"/>
            <w:noWrap/>
            <w:hideMark/>
          </w:tcPr>
          <w:p w14:paraId="4605117F" w14:textId="3736AE2A" w:rsidR="005D1100" w:rsidRPr="00AC1244" w:rsidRDefault="005D1100" w:rsidP="00AC1244">
            <w:pPr>
              <w:jc w:val="left"/>
              <w:rPr>
                <w:rFonts w:cstheme="minorHAnsi"/>
                <w:sz w:val="21"/>
                <w:szCs w:val="20"/>
                <w:lang w:val="en-US"/>
              </w:rPr>
            </w:pPr>
            <w:r w:rsidRPr="00AC1244">
              <w:rPr>
                <w:rFonts w:cstheme="minorHAnsi"/>
                <w:sz w:val="21"/>
                <w:szCs w:val="20"/>
              </w:rPr>
              <w:t xml:space="preserve">2. BACHY, E., LE GOUILL, S., DI BLASI, R., SESQUES, P., MANSON, G., CARTRON, G., BEAUVAIS, D., ROULIN, L., GROS, F. X., RUBIO, M. T., BORIES, P., BAY, J. O., LLORENTE, C. C., CHOQUET, S., CASASNOVAS, R. O., MOHTY, M., GUIDEZ, S., JORIS, M., LOSCHI, M., CARRAS, S., ABRAHAM, J., CHAUCHET, A., DRIEU LA ROCHELLE, L., DEAU-FISCHER, B., HERMINE, O., GASTINNE, T., TUDESQ, J. J., GAT, E., BROUSSAIS, F., THIEBLEMONT, C., HOUOT, R. &amp; MORSCHHAUSER, F. 2022. </w:t>
            </w:r>
            <w:r w:rsidRPr="00AC1244">
              <w:rPr>
                <w:rFonts w:cstheme="minorHAnsi"/>
                <w:sz w:val="21"/>
                <w:szCs w:val="20"/>
                <w:lang w:val="en-US"/>
              </w:rPr>
              <w:t>A real-world comparison of tisagenlecleucel and axicabtagene ciloleucel CAR T cells in relapsed or refractory diffuse large B cell lymphoma. Nat Med, 28, 2145-2154.</w:t>
            </w:r>
          </w:p>
        </w:tc>
      </w:tr>
      <w:tr w:rsidR="005D1100" w:rsidRPr="00AC1244" w14:paraId="65900D53" w14:textId="6DA30617" w:rsidTr="005D1100">
        <w:trPr>
          <w:trHeight w:val="320"/>
        </w:trPr>
        <w:tc>
          <w:tcPr>
            <w:tcW w:w="9067" w:type="dxa"/>
            <w:noWrap/>
            <w:hideMark/>
          </w:tcPr>
          <w:p w14:paraId="1A27024D" w14:textId="3E121ED2" w:rsidR="005D1100" w:rsidRPr="00AC1244" w:rsidRDefault="005D1100" w:rsidP="00AC1244">
            <w:pPr>
              <w:jc w:val="left"/>
              <w:rPr>
                <w:rFonts w:cstheme="minorHAnsi"/>
                <w:sz w:val="21"/>
                <w:szCs w:val="20"/>
                <w:lang w:val="en-US"/>
              </w:rPr>
            </w:pPr>
            <w:r w:rsidRPr="00AC1244">
              <w:rPr>
                <w:rFonts w:cstheme="minorHAnsi"/>
                <w:sz w:val="21"/>
                <w:szCs w:val="20"/>
                <w:lang w:val="es-ES"/>
              </w:rPr>
              <w:t xml:space="preserve">3. BASTOS-OREIRO, M., DE LAS HERAS, A., PRESA, M., CASADO, M. A., PARDO, C., MARTÍN-ESCUDERO, V. &amp; SUREDA, A. 2022. </w:t>
            </w:r>
            <w:r w:rsidRPr="00AC1244">
              <w:rPr>
                <w:rFonts w:cstheme="minorHAnsi"/>
                <w:sz w:val="21"/>
                <w:szCs w:val="20"/>
                <w:lang w:val="en-US"/>
              </w:rPr>
              <w:t>Cost-Effectiveness Analysis of Axicabtagene Ciloleucel vs. Tisagenlecleucel for the Management of Relapsed/Refractory Diffuse Large B-Cell Lymphoma in Spain. Cancers (Basel), 14.</w:t>
            </w:r>
          </w:p>
        </w:tc>
      </w:tr>
      <w:tr w:rsidR="005D1100" w:rsidRPr="00AC1244" w14:paraId="03AB853F" w14:textId="48E03D71" w:rsidTr="005D1100">
        <w:trPr>
          <w:trHeight w:val="320"/>
        </w:trPr>
        <w:tc>
          <w:tcPr>
            <w:tcW w:w="9067" w:type="dxa"/>
            <w:noWrap/>
            <w:hideMark/>
          </w:tcPr>
          <w:p w14:paraId="625C22AF" w14:textId="561EFEC7" w:rsidR="005D1100" w:rsidRPr="00AC1244" w:rsidRDefault="005D1100" w:rsidP="00AC1244">
            <w:pPr>
              <w:jc w:val="left"/>
              <w:rPr>
                <w:rFonts w:cstheme="minorHAnsi"/>
                <w:sz w:val="21"/>
                <w:szCs w:val="20"/>
                <w:lang w:val="en-US"/>
              </w:rPr>
            </w:pPr>
            <w:r w:rsidRPr="00AC1244">
              <w:rPr>
                <w:rFonts w:cstheme="minorHAnsi"/>
                <w:sz w:val="21"/>
                <w:szCs w:val="20"/>
              </w:rPr>
              <w:t xml:space="preserve">4. CHRISTODOULOU, I., COOPER, K., GAO, V., MCFARQUHAR, A., DORRITIE, K. &amp; SHLOMCHIK, W. 2025. </w:t>
            </w:r>
            <w:r w:rsidRPr="00AC1244">
              <w:rPr>
                <w:rFonts w:cstheme="minorHAnsi"/>
                <w:sz w:val="21"/>
                <w:szCs w:val="20"/>
                <w:lang w:val="en-US"/>
              </w:rPr>
              <w:t>Comparative Analysis of Lymphodepletion Regimens in CART-19 Treatment for Relapsed/Refractory Diffuse Large B Cell Lymphoma. Transplant Cell Ther.</w:t>
            </w:r>
          </w:p>
        </w:tc>
      </w:tr>
      <w:tr w:rsidR="005D1100" w:rsidRPr="00AC1244" w14:paraId="76C24054" w14:textId="281471A6" w:rsidTr="005D1100">
        <w:trPr>
          <w:trHeight w:val="320"/>
        </w:trPr>
        <w:tc>
          <w:tcPr>
            <w:tcW w:w="9067" w:type="dxa"/>
            <w:noWrap/>
            <w:hideMark/>
          </w:tcPr>
          <w:p w14:paraId="6623640D" w14:textId="187B0BF3" w:rsidR="005D1100" w:rsidRPr="00AC1244" w:rsidRDefault="005D1100" w:rsidP="00AC1244">
            <w:pPr>
              <w:jc w:val="left"/>
              <w:rPr>
                <w:rFonts w:cstheme="minorHAnsi"/>
                <w:sz w:val="21"/>
                <w:szCs w:val="20"/>
                <w:lang w:val="en-US"/>
              </w:rPr>
            </w:pPr>
            <w:r w:rsidRPr="00AC1244">
              <w:rPr>
                <w:rFonts w:cstheme="minorHAnsi"/>
                <w:sz w:val="21"/>
                <w:szCs w:val="20"/>
              </w:rPr>
              <w:t xml:space="preserve">5. DESCHÊNES-SIMARD, X., BROMBERG, M., DEVLIN, S. M., GONEN, M., BEYAR-KATZ, O., IP, A., MARCUS, R., AVIGDOR, A., BALLWEG, A., RABINOVICH, E., ALHOMOUD, M., RIVAS DELGADO, A., CORONA DE LAPUERTA, M., LUNA DE ABIA, A., PALOMBA, M. L., SHAH, G. L., LIN, R., BOARDMAN, A. P., FALCHI, L., LUE, J., SALLES, G., PERALES, M. A., SHOUVAL, R., DAHI, P. B. &amp; SCORDO, M. 2025. </w:t>
            </w:r>
            <w:r w:rsidRPr="00AC1244">
              <w:rPr>
                <w:rFonts w:cstheme="minorHAnsi"/>
                <w:sz w:val="21"/>
                <w:szCs w:val="20"/>
                <w:lang w:val="en-US"/>
              </w:rPr>
              <w:t>Comparative real-world outcomes of CD19-directed CAR T-cell therapies in large B-cell lymphoma. Blood Adv, 9, 5571-5584.</w:t>
            </w:r>
          </w:p>
        </w:tc>
      </w:tr>
      <w:tr w:rsidR="005D1100" w:rsidRPr="00AC1244" w14:paraId="2659CFBB" w14:textId="6E755847" w:rsidTr="005D1100">
        <w:trPr>
          <w:trHeight w:val="320"/>
        </w:trPr>
        <w:tc>
          <w:tcPr>
            <w:tcW w:w="9067" w:type="dxa"/>
            <w:noWrap/>
            <w:hideMark/>
          </w:tcPr>
          <w:p w14:paraId="152ACF27" w14:textId="3740F136" w:rsidR="005D1100" w:rsidRPr="00AC1244" w:rsidRDefault="005D1100" w:rsidP="00AC1244">
            <w:pPr>
              <w:jc w:val="left"/>
              <w:rPr>
                <w:rFonts w:cstheme="minorHAnsi"/>
                <w:sz w:val="21"/>
                <w:szCs w:val="20"/>
                <w:lang w:val="en-US"/>
              </w:rPr>
            </w:pPr>
            <w:r w:rsidRPr="00AC1244">
              <w:rPr>
                <w:rFonts w:cstheme="minorHAnsi"/>
                <w:sz w:val="21"/>
                <w:szCs w:val="20"/>
              </w:rPr>
              <w:t xml:space="preserve">6. FURQAN, F., AHN, K. W., KAUR, M., PATEL, J., ANSELL, S., AWAN, F. T., BAIRD, J., BEZERRA, E., FAROOQ, U., FUNG, H., KHURANA, A., LEKAKIS, L., LUTFI, F., MCCARTY, J., MUKHERJEE, A., NATH, R., ROMANCIK, J., SCHUSTER, S. J., SMITH, M., WINTER, A., TURTLE, C., SAUTER, C., SHADMAN, M., HERRARA, A. &amp; HAMADANI, M. 2025. </w:t>
            </w:r>
            <w:r w:rsidRPr="005D1100">
              <w:rPr>
                <w:rFonts w:cstheme="minorHAnsi"/>
                <w:sz w:val="21"/>
                <w:szCs w:val="20"/>
              </w:rPr>
              <w:t xml:space="preserve">Autologous Transplant or CAR-T as Consolidation Options in MYC Rearranged Large B-Cell Lymphoma Patients in Remission After Salvage Treatments. </w:t>
            </w:r>
            <w:r w:rsidRPr="00AC1244">
              <w:rPr>
                <w:rFonts w:cstheme="minorHAnsi"/>
                <w:sz w:val="21"/>
                <w:szCs w:val="20"/>
                <w:lang w:val="en-US"/>
              </w:rPr>
              <w:t>Am J Hematol, 100, 1152-1162.</w:t>
            </w:r>
          </w:p>
        </w:tc>
      </w:tr>
      <w:tr w:rsidR="005D1100" w:rsidRPr="00AC1244" w14:paraId="60DC5C7E" w14:textId="75B9DDF9" w:rsidTr="005D1100">
        <w:trPr>
          <w:trHeight w:val="320"/>
        </w:trPr>
        <w:tc>
          <w:tcPr>
            <w:tcW w:w="9067" w:type="dxa"/>
            <w:noWrap/>
            <w:hideMark/>
          </w:tcPr>
          <w:p w14:paraId="5E82F420" w14:textId="17EA7A55" w:rsidR="005D1100" w:rsidRPr="00AC1244" w:rsidRDefault="005D1100" w:rsidP="00AC1244">
            <w:pPr>
              <w:jc w:val="left"/>
              <w:rPr>
                <w:rFonts w:cstheme="minorHAnsi"/>
                <w:sz w:val="21"/>
                <w:szCs w:val="20"/>
                <w:lang w:val="en-US"/>
              </w:rPr>
            </w:pPr>
            <w:r w:rsidRPr="00AC1244">
              <w:rPr>
                <w:rFonts w:cstheme="minorHAnsi"/>
                <w:sz w:val="21"/>
                <w:szCs w:val="20"/>
                <w:lang w:val="it-IT"/>
              </w:rPr>
              <w:t xml:space="preserve">7. GALLI, E., DI BLASI, R., DI ROCCO, A., CRISTINELLI, C., PANSINI, I., BOMMIER, C., CORRENTE, A., DE BERNARDIS, I., VISCOVO, M., HOHAUS, S., MODONI, A., SORÀ, F., CHIUSOLO, P., MARTELLI, M., SICA, S. &amp; THIEBLEMONT, C. 2025. </w:t>
            </w:r>
            <w:r w:rsidRPr="00AC1244">
              <w:rPr>
                <w:rFonts w:cstheme="minorHAnsi"/>
                <w:sz w:val="21"/>
                <w:szCs w:val="20"/>
                <w:lang w:val="en-US"/>
              </w:rPr>
              <w:t>Routine prophylaxis with levetiracetam offers no benefit in CD19 CAR-T for LBCL: a multicenter propensity-matched study. Blood Adv, 9, 5501-5509.</w:t>
            </w:r>
          </w:p>
        </w:tc>
      </w:tr>
      <w:tr w:rsidR="005D1100" w:rsidRPr="00AC1244" w14:paraId="11AD268A" w14:textId="7F02D31A" w:rsidTr="005D1100">
        <w:trPr>
          <w:trHeight w:val="320"/>
        </w:trPr>
        <w:tc>
          <w:tcPr>
            <w:tcW w:w="9067" w:type="dxa"/>
            <w:noWrap/>
            <w:hideMark/>
          </w:tcPr>
          <w:p w14:paraId="00D54B0F" w14:textId="6956D94B" w:rsidR="005D1100" w:rsidRPr="00AC1244" w:rsidRDefault="005D1100" w:rsidP="00AC1244">
            <w:pPr>
              <w:jc w:val="left"/>
              <w:rPr>
                <w:rFonts w:cstheme="minorHAnsi"/>
                <w:sz w:val="21"/>
                <w:szCs w:val="20"/>
                <w:lang w:val="en-US"/>
              </w:rPr>
            </w:pPr>
            <w:r w:rsidRPr="00AC1244">
              <w:rPr>
                <w:rFonts w:cstheme="minorHAnsi"/>
                <w:sz w:val="21"/>
                <w:szCs w:val="20"/>
              </w:rPr>
              <w:t xml:space="preserve">8. GAUTHIER, J., GAZEAU, N., HIRAYAMA, A. V., HILL, J. A., WU, V., CEARLEY, A., PERKINS, P., KIRK, A., SHADMAN, M., CHOW, V. A., GOPAL, A. K., HODGES DWINAL, A., WILLIAMSON, S., MYERS, J., CHEN, A., NAGLE, S., HAYES-LATTIN, B., SCHACHTER, L., MALONEY, D. G., TURTLE, C. J., SORROR, M. L. &amp; MAZIARZ, R. T. 2022. </w:t>
            </w:r>
            <w:r w:rsidRPr="00AC1244">
              <w:rPr>
                <w:rFonts w:cstheme="minorHAnsi"/>
                <w:sz w:val="21"/>
                <w:szCs w:val="20"/>
                <w:lang w:val="en-US"/>
              </w:rPr>
              <w:t>Impact of CD19 CAR T-cell product type on outcomes in relapsed or refractory aggressive B-NHL. Blood, 139, 3722-3731.</w:t>
            </w:r>
          </w:p>
        </w:tc>
      </w:tr>
      <w:tr w:rsidR="005D1100" w:rsidRPr="00AC1244" w14:paraId="7BB0E513" w14:textId="2B1532C8" w:rsidTr="005D1100">
        <w:trPr>
          <w:trHeight w:val="320"/>
        </w:trPr>
        <w:tc>
          <w:tcPr>
            <w:tcW w:w="9067" w:type="dxa"/>
            <w:noWrap/>
            <w:hideMark/>
          </w:tcPr>
          <w:p w14:paraId="3AAC366E" w14:textId="0DEC5E4B" w:rsidR="005D1100" w:rsidRPr="00AC1244" w:rsidRDefault="005D1100" w:rsidP="00AC1244">
            <w:pPr>
              <w:jc w:val="left"/>
              <w:rPr>
                <w:rFonts w:cstheme="minorHAnsi"/>
                <w:sz w:val="21"/>
                <w:szCs w:val="20"/>
                <w:lang w:val="en-US"/>
              </w:rPr>
            </w:pPr>
            <w:r w:rsidRPr="00AC1244">
              <w:rPr>
                <w:rFonts w:cstheme="minorHAnsi"/>
                <w:sz w:val="21"/>
                <w:szCs w:val="20"/>
              </w:rPr>
              <w:t xml:space="preserve">9. HAYASHINO, K., TERAO, T., NISHIMORI, H., KITAMURA, W., KOBAYASHI, H., KAMOI, C., SEIKE, K., FUJIWARA, H., ASADA, N., ENNISHI, D., FUJII, K., FUJII, N., MATSUOKA, K. I. &amp; MAEDA, Y. 2025. </w:t>
            </w:r>
            <w:r w:rsidRPr="00AC1244">
              <w:rPr>
                <w:rFonts w:cstheme="minorHAnsi"/>
                <w:sz w:val="21"/>
                <w:szCs w:val="20"/>
                <w:lang w:val="en-US"/>
              </w:rPr>
              <w:t>Outcomes of allogeneic SCT versus tisagenlecleucel in patients with R/R LBCL and poor prognostic factors. Int J Hematol, 121, 232-243.</w:t>
            </w:r>
          </w:p>
        </w:tc>
      </w:tr>
      <w:tr w:rsidR="005D1100" w:rsidRPr="00AC1244" w14:paraId="59AA7A40" w14:textId="1A8E1B26" w:rsidTr="005D1100">
        <w:trPr>
          <w:trHeight w:val="320"/>
        </w:trPr>
        <w:tc>
          <w:tcPr>
            <w:tcW w:w="9067" w:type="dxa"/>
            <w:noWrap/>
            <w:hideMark/>
          </w:tcPr>
          <w:p w14:paraId="4C50FA98" w14:textId="77777777" w:rsidR="005D1100" w:rsidRPr="00AC1244" w:rsidRDefault="005D1100" w:rsidP="00AC1244">
            <w:pPr>
              <w:jc w:val="left"/>
              <w:rPr>
                <w:rFonts w:cstheme="minorHAnsi"/>
                <w:sz w:val="21"/>
                <w:szCs w:val="20"/>
                <w:lang w:val="en-US"/>
              </w:rPr>
            </w:pPr>
            <w:r w:rsidRPr="00AC1244">
              <w:rPr>
                <w:rFonts w:cstheme="minorHAnsi"/>
                <w:sz w:val="21"/>
                <w:szCs w:val="20"/>
                <w:lang w:val="en-US"/>
              </w:rPr>
              <w:t>10. HILLIS, C., VICENTE, C. &amp; BALL, G. 2022. The Cost Effectiveness of Axicabtagene Ciloleucel Versus Best Supportive Care in the Treatment of Adult Patients with Relapsed or Refractory Large B-Cell Lymphoma (LBCL) After Two or More Lines of Systemic Therapy in Canada. Pharmacoeconomics, 40, 917-928.</w:t>
            </w:r>
          </w:p>
        </w:tc>
      </w:tr>
      <w:tr w:rsidR="005D1100" w:rsidRPr="00AC1244" w14:paraId="1133AC28" w14:textId="185FB0A0" w:rsidTr="005D1100">
        <w:trPr>
          <w:trHeight w:val="320"/>
        </w:trPr>
        <w:tc>
          <w:tcPr>
            <w:tcW w:w="9067" w:type="dxa"/>
            <w:noWrap/>
            <w:hideMark/>
          </w:tcPr>
          <w:p w14:paraId="7C20CBB4"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11. IACOBONI, G., NAVARRO, V., MARTÍN-LÓPEZ, A., REJESKI, K., KWON, M., JALOWIEC, K. A., AMAT, P., REGUERA-ORTEGA, J. L., GALLUR, L., BLUMENBERG, V., GUTIÉRREZ-HERRERO, S., RODDIE, C., BENZAQUÉN, A., DELGADO-SERRANO, J., SÁNCHEZ-SALINAS, M. A., BAILÉN, R., CARPIO, C., LÓPEZ-CORRAL, L., HERNANI, R., BASTOS, M., O'REILLY, M., MARTÍN-MARTÍN, L., SUBKLEWE, M. &amp; BARBA, P. 2024. </w:t>
            </w:r>
            <w:r w:rsidRPr="00AC1244">
              <w:rPr>
                <w:rFonts w:cstheme="minorHAnsi"/>
                <w:sz w:val="21"/>
                <w:szCs w:val="20"/>
                <w:lang w:val="en-US"/>
              </w:rPr>
              <w:t>Recent Bendamustine Treatment Before Apheresis Has a Negative Impact on Outcomes in Patients With Large B-Cell Lymphoma Receiving Chimeric Antigen Receptor T-Cell Therapy. J Clin Oncol, 42, 205-217.</w:t>
            </w:r>
          </w:p>
        </w:tc>
      </w:tr>
      <w:tr w:rsidR="005D1100" w:rsidRPr="00AC1244" w14:paraId="367AEA3D" w14:textId="05B0DB05" w:rsidTr="005D1100">
        <w:trPr>
          <w:trHeight w:val="320"/>
        </w:trPr>
        <w:tc>
          <w:tcPr>
            <w:tcW w:w="9067" w:type="dxa"/>
            <w:noWrap/>
            <w:hideMark/>
          </w:tcPr>
          <w:p w14:paraId="06604670"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12. JAIN, M. D., JACOBS, M. T., GAO, F., NASTOUPIL, L. J., SPIEGEL, J. Y., LIN, Y., DAHIYA, S., LUNNING, M., LEKAKIS, L., REAGAN, P., OLUWOLE, O., MCGUIRK, J., DEOL, A., SEHGAL, A. R., GOY, A., HILL, B. T., ANDREADIS, C., MUNOZ, J., CHAVEZ, J. C., BENNANI, N. N., RAPOPORT, A. P., VOSE, J. M., MIKLOS, D., NEELAPU, S. S., LOCKE, F. L. &amp; GHOBADI, A. 2024. </w:t>
            </w:r>
            <w:r w:rsidRPr="00AC1244">
              <w:rPr>
                <w:rFonts w:cstheme="minorHAnsi"/>
                <w:sz w:val="21"/>
                <w:szCs w:val="20"/>
                <w:lang w:val="en-US"/>
              </w:rPr>
              <w:t>Bridging therapy with axicabtagene ciloleucel for large B-cell lymphoma: results from the US Lymphoma CAR-T Consortium. Blood Adv, 8, 1042-1050.</w:t>
            </w:r>
          </w:p>
        </w:tc>
      </w:tr>
      <w:tr w:rsidR="005D1100" w:rsidRPr="00AC1244" w14:paraId="50D3D3BE" w14:textId="5D52A083" w:rsidTr="005D1100">
        <w:trPr>
          <w:trHeight w:val="320"/>
        </w:trPr>
        <w:tc>
          <w:tcPr>
            <w:tcW w:w="9067" w:type="dxa"/>
            <w:noWrap/>
            <w:hideMark/>
          </w:tcPr>
          <w:p w14:paraId="2478FECD"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13. JALLOUK, A. P., KUI, N., SUN, R., WESTIN, J. R., STEINER, R. E., NAIR, R., NASTOUPIL, L. J., FAYAD, L. E., ZAKI, A. A., HAWKINS, M., ADKINS, S., NOORANI, M., DAS, K., HENDERSON, J., SHPALL, E. J., KEBRIAEI, P., RAMDIAL, J., FLOWERS, C. R., NEELAPU, S. S., AHMED, S. &amp; STRATI, P. 2024. </w:t>
            </w:r>
            <w:r w:rsidRPr="00AC1244">
              <w:rPr>
                <w:rFonts w:cstheme="minorHAnsi"/>
                <w:sz w:val="21"/>
                <w:szCs w:val="20"/>
                <w:lang w:val="en-US"/>
              </w:rPr>
              <w:t>Effect of delayed cell infusion in patients with large B-cell lymphoma treated with chimeric antigen receptor T-cell therapy. Haematologica, 109, 1460-1468.</w:t>
            </w:r>
          </w:p>
        </w:tc>
      </w:tr>
      <w:tr w:rsidR="005D1100" w:rsidRPr="00AC1244" w14:paraId="5FC5385B" w14:textId="6E371C1D" w:rsidTr="005D1100">
        <w:trPr>
          <w:trHeight w:val="320"/>
        </w:trPr>
        <w:tc>
          <w:tcPr>
            <w:tcW w:w="9067" w:type="dxa"/>
            <w:noWrap/>
            <w:hideMark/>
          </w:tcPr>
          <w:p w14:paraId="696EEE9F" w14:textId="77777777" w:rsidR="005D1100" w:rsidRPr="00AC1244" w:rsidRDefault="005D1100" w:rsidP="00AC1244">
            <w:pPr>
              <w:jc w:val="left"/>
              <w:rPr>
                <w:rFonts w:cstheme="minorHAnsi"/>
                <w:sz w:val="21"/>
                <w:szCs w:val="20"/>
                <w:lang w:val="en-US"/>
              </w:rPr>
            </w:pPr>
            <w:r w:rsidRPr="00AC1244">
              <w:rPr>
                <w:rFonts w:cstheme="minorHAnsi"/>
                <w:sz w:val="21"/>
                <w:szCs w:val="20"/>
                <w:lang w:val="sv-SE"/>
              </w:rPr>
              <w:t xml:space="preserve">14. LIU, R., OLUWOLE, O. O., DIAKITE, I., BOTTEMAN, M. F., SNIDER, J. T. &amp; LOCKE, F. L. 2021. </w:t>
            </w:r>
            <w:r w:rsidRPr="00AC1244">
              <w:rPr>
                <w:rFonts w:cstheme="minorHAnsi"/>
                <w:sz w:val="21"/>
                <w:szCs w:val="20"/>
                <w:lang w:val="en-US"/>
              </w:rPr>
              <w:t>Cost effectiveness of axicabtagene ciloleucel versus tisagenlecleucel for adult patients with relapsed or refractory large B-cell lymphoma after two or more lines of systemic therapy in the United States. J Med Econ, 24, 458-468.</w:t>
            </w:r>
          </w:p>
        </w:tc>
      </w:tr>
      <w:tr w:rsidR="005D1100" w:rsidRPr="00AC1244" w14:paraId="76FCC680" w14:textId="1DED75A3" w:rsidTr="005D1100">
        <w:trPr>
          <w:trHeight w:val="320"/>
        </w:trPr>
        <w:tc>
          <w:tcPr>
            <w:tcW w:w="9067" w:type="dxa"/>
            <w:noWrap/>
            <w:hideMark/>
          </w:tcPr>
          <w:p w14:paraId="2C0FD8CC"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15. MORADI-LAKEH, M., YAGHOUBI, M., SEITZ, P., JAVANBAKHT, M. &amp; BROCK, E. 2021. </w:t>
            </w:r>
            <w:r w:rsidRPr="005D1100">
              <w:rPr>
                <w:rFonts w:cstheme="minorHAnsi"/>
                <w:sz w:val="21"/>
                <w:szCs w:val="20"/>
              </w:rPr>
              <w:t xml:space="preserve">Cost-Effectiveness of Tisagenlecleucel in Paediatric Acute Lymphoblastic Leukaemia (pALL) and Adult Diffuse Large B-Cell Lymphoma (DLBCL) in Switzerland. </w:t>
            </w:r>
            <w:r w:rsidRPr="00AC1244">
              <w:rPr>
                <w:rFonts w:cstheme="minorHAnsi"/>
                <w:sz w:val="21"/>
                <w:szCs w:val="20"/>
                <w:lang w:val="en-US"/>
              </w:rPr>
              <w:t>Adv Ther, 38, 3427-3443.</w:t>
            </w:r>
          </w:p>
        </w:tc>
      </w:tr>
      <w:tr w:rsidR="005D1100" w:rsidRPr="00AC1244" w14:paraId="7DE25EB5" w14:textId="16C8175C" w:rsidTr="005D1100">
        <w:trPr>
          <w:trHeight w:val="320"/>
        </w:trPr>
        <w:tc>
          <w:tcPr>
            <w:tcW w:w="9067" w:type="dxa"/>
            <w:noWrap/>
            <w:hideMark/>
          </w:tcPr>
          <w:p w14:paraId="5A5805C6"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16. NOWAKOWSKI, G., YOON, D. H., JOFFE, E., ZINZANI, P. L., SABATELLI, L., WALTL, E. E., ALVERO, C. G., HESS, G., RIEDELL, P., KIM, K., BRIXNER, D. &amp; SALLES, G. 2022. </w:t>
            </w:r>
            <w:r w:rsidRPr="005D1100">
              <w:rPr>
                <w:rFonts w:cstheme="minorHAnsi"/>
                <w:sz w:val="21"/>
                <w:szCs w:val="20"/>
              </w:rPr>
              <w:t xml:space="preserve">ABCL-088 Subgroup Analysis in RE-MIND2: An Observational, Retrospective Cohort Study of Tafasitamab + Lenalidomide Versus Systemic Therapies in Patients With Relapsed/Refractory Diffuse Large B-Cell Lymphoma. </w:t>
            </w:r>
            <w:r w:rsidRPr="00AC1244">
              <w:rPr>
                <w:rFonts w:cstheme="minorHAnsi"/>
                <w:sz w:val="21"/>
                <w:szCs w:val="20"/>
                <w:lang w:val="en-US"/>
              </w:rPr>
              <w:t>Clinical Lymphoma, Myeloma and Leukemia, 22, S359.</w:t>
            </w:r>
          </w:p>
        </w:tc>
      </w:tr>
      <w:tr w:rsidR="005D1100" w:rsidRPr="00AC1244" w14:paraId="05BCF6F7" w14:textId="29876A7E" w:rsidTr="005D1100">
        <w:trPr>
          <w:trHeight w:val="320"/>
        </w:trPr>
        <w:tc>
          <w:tcPr>
            <w:tcW w:w="9067" w:type="dxa"/>
            <w:noWrap/>
            <w:hideMark/>
          </w:tcPr>
          <w:p w14:paraId="70584787" w14:textId="77777777" w:rsidR="005D1100" w:rsidRPr="00AC1244" w:rsidRDefault="005D1100" w:rsidP="00AC1244">
            <w:pPr>
              <w:jc w:val="left"/>
              <w:rPr>
                <w:rFonts w:cstheme="minorHAnsi"/>
                <w:sz w:val="21"/>
                <w:szCs w:val="20"/>
                <w:lang w:val="en-US"/>
              </w:rPr>
            </w:pPr>
            <w:r w:rsidRPr="005D1100">
              <w:rPr>
                <w:rFonts w:cstheme="minorHAnsi"/>
                <w:sz w:val="21"/>
                <w:szCs w:val="20"/>
              </w:rPr>
              <w:t xml:space="preserve">17. OLUWOLE, O. O., LIU, R., DIAKITE, I., FENG, C., PATEL, A., NOURHUSSEIN, I., SNIDER, J. T. &amp; LOCKE, F. L. 2022. Cost-effectiveness of axicabtagene ciloleucel versus lisocabtagene maraleucel for adult patients with relapsed or refractory large B-cell lymphoma after two or more lines of systemic therapy in the US. </w:t>
            </w:r>
            <w:r w:rsidRPr="00AC1244">
              <w:rPr>
                <w:rFonts w:cstheme="minorHAnsi"/>
                <w:sz w:val="21"/>
                <w:szCs w:val="20"/>
                <w:lang w:val="en-US"/>
              </w:rPr>
              <w:t>J Med Econ, 25, 541-551.</w:t>
            </w:r>
          </w:p>
        </w:tc>
      </w:tr>
      <w:tr w:rsidR="005D1100" w:rsidRPr="00AC1244" w14:paraId="68C27583" w14:textId="53C57B71" w:rsidTr="005D1100">
        <w:trPr>
          <w:trHeight w:val="320"/>
        </w:trPr>
        <w:tc>
          <w:tcPr>
            <w:tcW w:w="9067" w:type="dxa"/>
            <w:noWrap/>
            <w:hideMark/>
          </w:tcPr>
          <w:p w14:paraId="3D5B0B04" w14:textId="77777777" w:rsidR="005D1100" w:rsidRPr="00AC1244" w:rsidRDefault="005D1100" w:rsidP="00AC1244">
            <w:pPr>
              <w:jc w:val="left"/>
              <w:rPr>
                <w:rFonts w:cstheme="minorHAnsi"/>
                <w:sz w:val="21"/>
                <w:szCs w:val="20"/>
                <w:lang w:val="en-US"/>
              </w:rPr>
            </w:pPr>
            <w:r w:rsidRPr="00AC1244">
              <w:rPr>
                <w:rFonts w:cstheme="minorHAnsi"/>
                <w:sz w:val="21"/>
                <w:szCs w:val="20"/>
                <w:lang w:val="en-US"/>
              </w:rPr>
              <w:t>18. OLUWOLE, O. O., RAY, M. D., DAVIES, N., BRADFORD, R., JONES, C., PATEL, A. R. &amp; LOCKE, F. L. 2024. Cost-effectiveness of axicabtagene ciloleucel versus tisagenlecleucel for the treatment of 3L + relapsed/refractory large B-cell lymphoma in the United States: incorporating longer survival results. J Med Econ, 27, 230-239.</w:t>
            </w:r>
          </w:p>
        </w:tc>
      </w:tr>
      <w:tr w:rsidR="005D1100" w:rsidRPr="00AC1244" w14:paraId="67AA720F" w14:textId="39A6BF51" w:rsidTr="005D1100">
        <w:trPr>
          <w:trHeight w:val="320"/>
        </w:trPr>
        <w:tc>
          <w:tcPr>
            <w:tcW w:w="9067" w:type="dxa"/>
            <w:noWrap/>
            <w:hideMark/>
          </w:tcPr>
          <w:p w14:paraId="0723135C" w14:textId="77777777" w:rsidR="005D1100" w:rsidRPr="00AC1244" w:rsidRDefault="005D1100" w:rsidP="00AC1244">
            <w:pPr>
              <w:jc w:val="left"/>
              <w:rPr>
                <w:rFonts w:cstheme="minorHAnsi"/>
                <w:sz w:val="21"/>
                <w:szCs w:val="20"/>
                <w:lang w:val="en-US"/>
              </w:rPr>
            </w:pPr>
            <w:r w:rsidRPr="00AC1244">
              <w:rPr>
                <w:rFonts w:cstheme="minorHAnsi"/>
                <w:sz w:val="21"/>
                <w:szCs w:val="20"/>
                <w:lang w:val="en-US"/>
              </w:rPr>
              <w:t>19. RAY, M., CASTAIGNE, J. G., ZANG, A., PATEL, A., HANCOCK, E., BRIGHTON, N. &amp; BACHY, E. 2024. A Cost-Effectiveness Analysis of Axicabtagene Ciloleucel versus Tisagenlecleucel in the Treatment of Diffuse Large B-cell Lymphoma Based on a Real-World French Registry. Adv Ther, 41, 4282-4298.</w:t>
            </w:r>
          </w:p>
        </w:tc>
      </w:tr>
      <w:tr w:rsidR="005D1100" w:rsidRPr="00AC1244" w14:paraId="76F3F7CB" w14:textId="081548F9" w:rsidTr="005D1100">
        <w:trPr>
          <w:trHeight w:val="320"/>
        </w:trPr>
        <w:tc>
          <w:tcPr>
            <w:tcW w:w="9067" w:type="dxa"/>
            <w:noWrap/>
            <w:hideMark/>
          </w:tcPr>
          <w:p w14:paraId="10E687CA"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20. SHENG, K., YOU, T., ZHOU, J., WANG, Y., WU, D. &amp; HUANG, H. 2025. </w:t>
            </w:r>
            <w:r w:rsidRPr="00AC1244">
              <w:rPr>
                <w:rFonts w:cstheme="minorHAnsi"/>
                <w:sz w:val="21"/>
                <w:szCs w:val="20"/>
                <w:lang w:val="en-US"/>
              </w:rPr>
              <w:t>Propensity Score-Matched analysis supports the survival benefits of combination chimeric antigen receptor T-cell therapy with autologous transplantation in relapsed or refractory diffuse large B-cell lymphoma: Insights from a real-world study in China. Transplant Cell Ther.</w:t>
            </w:r>
          </w:p>
        </w:tc>
      </w:tr>
      <w:tr w:rsidR="005D1100" w:rsidRPr="00AC1244" w14:paraId="3520684A" w14:textId="325A4297" w:rsidTr="005D1100">
        <w:trPr>
          <w:trHeight w:val="320"/>
        </w:trPr>
        <w:tc>
          <w:tcPr>
            <w:tcW w:w="9067" w:type="dxa"/>
            <w:noWrap/>
            <w:hideMark/>
          </w:tcPr>
          <w:p w14:paraId="0876156B" w14:textId="77777777" w:rsidR="005D1100" w:rsidRPr="00AC1244" w:rsidRDefault="005D1100" w:rsidP="00AC1244">
            <w:pPr>
              <w:jc w:val="left"/>
              <w:rPr>
                <w:rFonts w:cstheme="minorHAnsi"/>
                <w:sz w:val="21"/>
                <w:szCs w:val="20"/>
                <w:lang w:val="en-US"/>
              </w:rPr>
            </w:pPr>
            <w:r w:rsidRPr="005D1100">
              <w:rPr>
                <w:rFonts w:cstheme="minorHAnsi"/>
                <w:sz w:val="21"/>
                <w:szCs w:val="20"/>
              </w:rPr>
              <w:t xml:space="preserve">21. TSUTSUÉ, S., MAKITA, S., ASOU, H., MATSUDA, H., YAMAURA, R. &amp; TAYLOR, T. D. 2024. Cost-effectiveness analysis 3L of axicabtagene ciloleucel vs tisagenlecleucel and lisocabtagene maraleucel in Japan. </w:t>
            </w:r>
            <w:r w:rsidRPr="00AC1244">
              <w:rPr>
                <w:rFonts w:cstheme="minorHAnsi"/>
                <w:sz w:val="21"/>
                <w:szCs w:val="20"/>
                <w:lang w:val="en-US"/>
              </w:rPr>
              <w:t>Future Oncol, 20, 1333-1349.</w:t>
            </w:r>
          </w:p>
        </w:tc>
      </w:tr>
      <w:tr w:rsidR="005D1100" w:rsidRPr="00AC1244" w14:paraId="37B7F0CA" w14:textId="20CDAFBB" w:rsidTr="005D1100">
        <w:trPr>
          <w:trHeight w:val="320"/>
        </w:trPr>
        <w:tc>
          <w:tcPr>
            <w:tcW w:w="9067" w:type="dxa"/>
            <w:noWrap/>
            <w:hideMark/>
          </w:tcPr>
          <w:p w14:paraId="374D9E20" w14:textId="77777777" w:rsidR="005D1100" w:rsidRPr="00AC1244" w:rsidRDefault="005D1100" w:rsidP="00AC1244">
            <w:pPr>
              <w:jc w:val="left"/>
              <w:rPr>
                <w:rFonts w:cstheme="minorHAnsi"/>
                <w:sz w:val="21"/>
                <w:szCs w:val="20"/>
                <w:lang w:val="en-US"/>
              </w:rPr>
            </w:pPr>
            <w:r w:rsidRPr="00AC1244">
              <w:rPr>
                <w:rFonts w:cstheme="minorHAnsi"/>
                <w:sz w:val="21"/>
                <w:szCs w:val="20"/>
              </w:rPr>
              <w:t xml:space="preserve">22. XUE, B., ZHOU, J., CHEN, X., LIU, Y., LU, H., ZHU, Z., ZHANG, W., ZHANG, L., LIANG, A., LI, P. &amp; LUO, X. 2025. </w:t>
            </w:r>
            <w:r w:rsidRPr="00AC1244">
              <w:rPr>
                <w:rFonts w:cstheme="minorHAnsi"/>
                <w:sz w:val="21"/>
                <w:szCs w:val="20"/>
                <w:lang w:val="en-US"/>
              </w:rPr>
              <w:t>Sequential PD-1 inhibitors as consolidative therapy post-CD19 CART in relapsed/refractory NHL: a propensity score matching cohort study. Journal of Translational Medicine, 23.</w:t>
            </w:r>
          </w:p>
        </w:tc>
      </w:tr>
    </w:tbl>
    <w:p w14:paraId="4E06A77A" w14:textId="77777777" w:rsidR="00AC1244" w:rsidRPr="00AC1244" w:rsidRDefault="00AC1244" w:rsidP="00AC1244">
      <w:pPr>
        <w:rPr>
          <w:rFonts w:asciiTheme="minorHAnsi" w:hAnsiTheme="minorHAnsi" w:cstheme="minorHAnsi"/>
          <w:lang w:val="en-US"/>
        </w:rPr>
      </w:pPr>
    </w:p>
    <w:p w14:paraId="738D4C2E" w14:textId="77777777" w:rsidR="00AC1244" w:rsidRPr="00AC1244" w:rsidRDefault="00AC1244">
      <w:pPr>
        <w:rPr>
          <w:lang w:val="en-US"/>
        </w:rPr>
      </w:pPr>
    </w:p>
    <w:sectPr w:rsidR="00AC1244" w:rsidRPr="00AC124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3D5FC" w14:textId="77777777" w:rsidR="003F4CDE" w:rsidRDefault="003F4CDE" w:rsidP="00AC1244">
      <w:pPr>
        <w:spacing w:line="240" w:lineRule="auto"/>
      </w:pPr>
      <w:r>
        <w:separator/>
      </w:r>
    </w:p>
  </w:endnote>
  <w:endnote w:type="continuationSeparator" w:id="0">
    <w:p w14:paraId="0142F2DF" w14:textId="77777777" w:rsidR="003F4CDE" w:rsidRDefault="003F4CDE" w:rsidP="00AC12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0C465E" w14:textId="77777777" w:rsidR="003F4CDE" w:rsidRDefault="003F4CDE" w:rsidP="00AC1244">
      <w:pPr>
        <w:spacing w:line="240" w:lineRule="auto"/>
      </w:pPr>
      <w:r>
        <w:separator/>
      </w:r>
    </w:p>
  </w:footnote>
  <w:footnote w:type="continuationSeparator" w:id="0">
    <w:p w14:paraId="75E9858F" w14:textId="77777777" w:rsidR="003F4CDE" w:rsidRDefault="003F4CDE" w:rsidP="00AC124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067ED3"/>
    <w:multiLevelType w:val="hybridMultilevel"/>
    <w:tmpl w:val="562E8AB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num w:numId="1" w16cid:durableId="50254725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F8E"/>
    <w:rsid w:val="001C3EC1"/>
    <w:rsid w:val="00335F8E"/>
    <w:rsid w:val="00385868"/>
    <w:rsid w:val="003F158F"/>
    <w:rsid w:val="003F4CDE"/>
    <w:rsid w:val="005D1100"/>
    <w:rsid w:val="00611A0B"/>
    <w:rsid w:val="007075F9"/>
    <w:rsid w:val="00785588"/>
    <w:rsid w:val="00A85560"/>
    <w:rsid w:val="00AC1244"/>
    <w:rsid w:val="00BB3E8D"/>
    <w:rsid w:val="00C916C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C2347E"/>
  <w15:chartTrackingRefBased/>
  <w15:docId w15:val="{670BA62F-1821-4A77-AEE7-A53E20690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35F8E"/>
    <w:pPr>
      <w:spacing w:after="0" w:line="360" w:lineRule="auto"/>
      <w:jc w:val="both"/>
    </w:pPr>
    <w:rPr>
      <w:rFonts w:ascii="Times New Roman" w:eastAsiaTheme="minorHAnsi" w:hAnsi="Times New Roman"/>
      <w:kern w:val="0"/>
      <w:szCs w:val="22"/>
      <w:lang w:eastAsia="en-US"/>
      <w14:ligatures w14:val="none"/>
    </w:rPr>
  </w:style>
  <w:style w:type="paragraph" w:styleId="berschrift1">
    <w:name w:val="heading 1"/>
    <w:basedOn w:val="Standard"/>
    <w:next w:val="Standard"/>
    <w:link w:val="berschrift1Zchn"/>
    <w:uiPriority w:val="9"/>
    <w:qFormat/>
    <w:rsid w:val="00335F8E"/>
    <w:pPr>
      <w:keepNext/>
      <w:keepLines/>
      <w:spacing w:before="360" w:after="80" w:line="278" w:lineRule="auto"/>
      <w:jc w:val="left"/>
      <w:outlineLvl w:val="0"/>
    </w:pPr>
    <w:rPr>
      <w:rFonts w:asciiTheme="majorHAnsi" w:eastAsiaTheme="majorEastAsia" w:hAnsiTheme="majorHAnsi" w:cstheme="majorBidi"/>
      <w:color w:val="0F4761" w:themeColor="accent1" w:themeShade="BF"/>
      <w:kern w:val="2"/>
      <w:sz w:val="40"/>
      <w:szCs w:val="40"/>
      <w:lang w:eastAsia="zh-CN"/>
      <w14:ligatures w14:val="standardContextual"/>
    </w:rPr>
  </w:style>
  <w:style w:type="paragraph" w:styleId="berschrift2">
    <w:name w:val="heading 2"/>
    <w:basedOn w:val="Standard"/>
    <w:next w:val="Standard"/>
    <w:link w:val="berschrift2Zchn"/>
    <w:uiPriority w:val="9"/>
    <w:semiHidden/>
    <w:unhideWhenUsed/>
    <w:qFormat/>
    <w:rsid w:val="00335F8E"/>
    <w:pPr>
      <w:keepNext/>
      <w:keepLines/>
      <w:spacing w:before="160" w:after="80" w:line="278" w:lineRule="auto"/>
      <w:jc w:val="left"/>
      <w:outlineLvl w:val="1"/>
    </w:pPr>
    <w:rPr>
      <w:rFonts w:asciiTheme="majorHAnsi" w:eastAsiaTheme="majorEastAsia" w:hAnsiTheme="majorHAnsi" w:cstheme="majorBidi"/>
      <w:color w:val="0F4761" w:themeColor="accent1" w:themeShade="BF"/>
      <w:kern w:val="2"/>
      <w:sz w:val="32"/>
      <w:szCs w:val="32"/>
      <w:lang w:eastAsia="zh-CN"/>
      <w14:ligatures w14:val="standardContextual"/>
    </w:rPr>
  </w:style>
  <w:style w:type="paragraph" w:styleId="berschrift3">
    <w:name w:val="heading 3"/>
    <w:basedOn w:val="Standard"/>
    <w:next w:val="Standard"/>
    <w:link w:val="berschrift3Zchn"/>
    <w:uiPriority w:val="9"/>
    <w:semiHidden/>
    <w:unhideWhenUsed/>
    <w:qFormat/>
    <w:rsid w:val="00335F8E"/>
    <w:pPr>
      <w:keepNext/>
      <w:keepLines/>
      <w:spacing w:before="160" w:after="80" w:line="278" w:lineRule="auto"/>
      <w:jc w:val="left"/>
      <w:outlineLvl w:val="2"/>
    </w:pPr>
    <w:rPr>
      <w:rFonts w:asciiTheme="minorHAnsi" w:eastAsiaTheme="majorEastAsia" w:hAnsiTheme="minorHAnsi" w:cstheme="majorBidi"/>
      <w:color w:val="0F4761" w:themeColor="accent1" w:themeShade="BF"/>
      <w:kern w:val="2"/>
      <w:sz w:val="28"/>
      <w:szCs w:val="28"/>
      <w:lang w:eastAsia="zh-CN"/>
      <w14:ligatures w14:val="standardContextual"/>
    </w:rPr>
  </w:style>
  <w:style w:type="paragraph" w:styleId="berschrift4">
    <w:name w:val="heading 4"/>
    <w:basedOn w:val="Standard"/>
    <w:next w:val="Standard"/>
    <w:link w:val="berschrift4Zchn"/>
    <w:uiPriority w:val="9"/>
    <w:semiHidden/>
    <w:unhideWhenUsed/>
    <w:qFormat/>
    <w:rsid w:val="00335F8E"/>
    <w:pPr>
      <w:keepNext/>
      <w:keepLines/>
      <w:spacing w:before="80" w:after="40" w:line="278" w:lineRule="auto"/>
      <w:jc w:val="left"/>
      <w:outlineLvl w:val="3"/>
    </w:pPr>
    <w:rPr>
      <w:rFonts w:asciiTheme="minorHAnsi" w:eastAsiaTheme="majorEastAsia" w:hAnsiTheme="minorHAnsi" w:cstheme="majorBidi"/>
      <w:i/>
      <w:iCs/>
      <w:color w:val="0F4761" w:themeColor="accent1" w:themeShade="BF"/>
      <w:kern w:val="2"/>
      <w:szCs w:val="24"/>
      <w:lang w:eastAsia="zh-CN"/>
      <w14:ligatures w14:val="standardContextual"/>
    </w:rPr>
  </w:style>
  <w:style w:type="paragraph" w:styleId="berschrift5">
    <w:name w:val="heading 5"/>
    <w:basedOn w:val="Standard"/>
    <w:next w:val="Standard"/>
    <w:link w:val="berschrift5Zchn"/>
    <w:uiPriority w:val="9"/>
    <w:semiHidden/>
    <w:unhideWhenUsed/>
    <w:qFormat/>
    <w:rsid w:val="00335F8E"/>
    <w:pPr>
      <w:keepNext/>
      <w:keepLines/>
      <w:spacing w:before="80" w:after="40" w:line="278" w:lineRule="auto"/>
      <w:jc w:val="left"/>
      <w:outlineLvl w:val="4"/>
    </w:pPr>
    <w:rPr>
      <w:rFonts w:asciiTheme="minorHAnsi" w:eastAsiaTheme="majorEastAsia" w:hAnsiTheme="minorHAnsi" w:cstheme="majorBidi"/>
      <w:color w:val="0F4761" w:themeColor="accent1" w:themeShade="BF"/>
      <w:kern w:val="2"/>
      <w:szCs w:val="24"/>
      <w:lang w:eastAsia="zh-CN"/>
      <w14:ligatures w14:val="standardContextual"/>
    </w:rPr>
  </w:style>
  <w:style w:type="paragraph" w:styleId="berschrift6">
    <w:name w:val="heading 6"/>
    <w:basedOn w:val="Standard"/>
    <w:next w:val="Standard"/>
    <w:link w:val="berschrift6Zchn"/>
    <w:uiPriority w:val="9"/>
    <w:semiHidden/>
    <w:unhideWhenUsed/>
    <w:qFormat/>
    <w:rsid w:val="00335F8E"/>
    <w:pPr>
      <w:keepNext/>
      <w:keepLines/>
      <w:spacing w:before="40" w:line="278" w:lineRule="auto"/>
      <w:jc w:val="left"/>
      <w:outlineLvl w:val="5"/>
    </w:pPr>
    <w:rPr>
      <w:rFonts w:asciiTheme="minorHAnsi" w:eastAsiaTheme="majorEastAsia" w:hAnsiTheme="minorHAnsi" w:cstheme="majorBidi"/>
      <w:i/>
      <w:iCs/>
      <w:color w:val="595959" w:themeColor="text1" w:themeTint="A6"/>
      <w:kern w:val="2"/>
      <w:szCs w:val="24"/>
      <w:lang w:eastAsia="zh-CN"/>
      <w14:ligatures w14:val="standardContextual"/>
    </w:rPr>
  </w:style>
  <w:style w:type="paragraph" w:styleId="berschrift7">
    <w:name w:val="heading 7"/>
    <w:basedOn w:val="Standard"/>
    <w:next w:val="Standard"/>
    <w:link w:val="berschrift7Zchn"/>
    <w:uiPriority w:val="9"/>
    <w:semiHidden/>
    <w:unhideWhenUsed/>
    <w:qFormat/>
    <w:rsid w:val="00335F8E"/>
    <w:pPr>
      <w:keepNext/>
      <w:keepLines/>
      <w:spacing w:before="40" w:line="278" w:lineRule="auto"/>
      <w:jc w:val="left"/>
      <w:outlineLvl w:val="6"/>
    </w:pPr>
    <w:rPr>
      <w:rFonts w:asciiTheme="minorHAnsi" w:eastAsiaTheme="majorEastAsia" w:hAnsiTheme="minorHAnsi" w:cstheme="majorBidi"/>
      <w:color w:val="595959" w:themeColor="text1" w:themeTint="A6"/>
      <w:kern w:val="2"/>
      <w:szCs w:val="24"/>
      <w:lang w:eastAsia="zh-CN"/>
      <w14:ligatures w14:val="standardContextual"/>
    </w:rPr>
  </w:style>
  <w:style w:type="paragraph" w:styleId="berschrift8">
    <w:name w:val="heading 8"/>
    <w:basedOn w:val="Standard"/>
    <w:next w:val="Standard"/>
    <w:link w:val="berschrift8Zchn"/>
    <w:uiPriority w:val="9"/>
    <w:semiHidden/>
    <w:unhideWhenUsed/>
    <w:qFormat/>
    <w:rsid w:val="00335F8E"/>
    <w:pPr>
      <w:keepNext/>
      <w:keepLines/>
      <w:spacing w:line="278" w:lineRule="auto"/>
      <w:jc w:val="left"/>
      <w:outlineLvl w:val="7"/>
    </w:pPr>
    <w:rPr>
      <w:rFonts w:asciiTheme="minorHAnsi" w:eastAsiaTheme="majorEastAsia" w:hAnsiTheme="minorHAnsi" w:cstheme="majorBidi"/>
      <w:i/>
      <w:iCs/>
      <w:color w:val="272727" w:themeColor="text1" w:themeTint="D8"/>
      <w:kern w:val="2"/>
      <w:szCs w:val="24"/>
      <w:lang w:eastAsia="zh-CN"/>
      <w14:ligatures w14:val="standardContextual"/>
    </w:rPr>
  </w:style>
  <w:style w:type="paragraph" w:styleId="berschrift9">
    <w:name w:val="heading 9"/>
    <w:basedOn w:val="Standard"/>
    <w:next w:val="Standard"/>
    <w:link w:val="berschrift9Zchn"/>
    <w:uiPriority w:val="9"/>
    <w:semiHidden/>
    <w:unhideWhenUsed/>
    <w:qFormat/>
    <w:rsid w:val="00335F8E"/>
    <w:pPr>
      <w:keepNext/>
      <w:keepLines/>
      <w:spacing w:line="278" w:lineRule="auto"/>
      <w:jc w:val="left"/>
      <w:outlineLvl w:val="8"/>
    </w:pPr>
    <w:rPr>
      <w:rFonts w:asciiTheme="minorHAnsi" w:eastAsiaTheme="majorEastAsia" w:hAnsiTheme="minorHAnsi" w:cstheme="majorBidi"/>
      <w:color w:val="272727" w:themeColor="text1" w:themeTint="D8"/>
      <w:kern w:val="2"/>
      <w:szCs w:val="24"/>
      <w:lang w:eastAsia="zh-CN"/>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35F8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335F8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335F8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335F8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335F8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335F8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335F8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335F8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335F8E"/>
    <w:rPr>
      <w:rFonts w:eastAsiaTheme="majorEastAsia" w:cstheme="majorBidi"/>
      <w:color w:val="272727" w:themeColor="text1" w:themeTint="D8"/>
    </w:rPr>
  </w:style>
  <w:style w:type="paragraph" w:styleId="Titel">
    <w:name w:val="Title"/>
    <w:basedOn w:val="Standard"/>
    <w:next w:val="Standard"/>
    <w:link w:val="TitelZchn"/>
    <w:uiPriority w:val="10"/>
    <w:qFormat/>
    <w:rsid w:val="00335F8E"/>
    <w:pPr>
      <w:spacing w:after="80" w:line="240" w:lineRule="auto"/>
      <w:contextualSpacing/>
      <w:jc w:val="left"/>
    </w:pPr>
    <w:rPr>
      <w:rFonts w:asciiTheme="majorHAnsi" w:eastAsiaTheme="majorEastAsia" w:hAnsiTheme="majorHAnsi" w:cstheme="majorBidi"/>
      <w:spacing w:val="-10"/>
      <w:kern w:val="28"/>
      <w:sz w:val="56"/>
      <w:szCs w:val="56"/>
      <w:lang w:eastAsia="zh-CN"/>
      <w14:ligatures w14:val="standardContextual"/>
    </w:rPr>
  </w:style>
  <w:style w:type="character" w:customStyle="1" w:styleId="TitelZchn">
    <w:name w:val="Titel Zchn"/>
    <w:basedOn w:val="Absatz-Standardschriftart"/>
    <w:link w:val="Titel"/>
    <w:uiPriority w:val="10"/>
    <w:rsid w:val="00335F8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335F8E"/>
    <w:pPr>
      <w:numPr>
        <w:ilvl w:val="1"/>
      </w:numPr>
      <w:spacing w:after="160" w:line="278" w:lineRule="auto"/>
      <w:jc w:val="left"/>
    </w:pPr>
    <w:rPr>
      <w:rFonts w:asciiTheme="minorHAnsi" w:eastAsiaTheme="majorEastAsia" w:hAnsiTheme="minorHAnsi" w:cstheme="majorBidi"/>
      <w:color w:val="595959" w:themeColor="text1" w:themeTint="A6"/>
      <w:spacing w:val="15"/>
      <w:kern w:val="2"/>
      <w:sz w:val="28"/>
      <w:szCs w:val="28"/>
      <w:lang w:eastAsia="zh-CN"/>
      <w14:ligatures w14:val="standardContextual"/>
    </w:rPr>
  </w:style>
  <w:style w:type="character" w:customStyle="1" w:styleId="UntertitelZchn">
    <w:name w:val="Untertitel Zchn"/>
    <w:basedOn w:val="Absatz-Standardschriftart"/>
    <w:link w:val="Untertitel"/>
    <w:uiPriority w:val="11"/>
    <w:rsid w:val="00335F8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335F8E"/>
    <w:pPr>
      <w:spacing w:before="160" w:after="160" w:line="278" w:lineRule="auto"/>
      <w:jc w:val="center"/>
    </w:pPr>
    <w:rPr>
      <w:rFonts w:asciiTheme="minorHAnsi" w:eastAsiaTheme="minorEastAsia" w:hAnsiTheme="minorHAnsi"/>
      <w:i/>
      <w:iCs/>
      <w:color w:val="404040" w:themeColor="text1" w:themeTint="BF"/>
      <w:kern w:val="2"/>
      <w:szCs w:val="24"/>
      <w:lang w:eastAsia="zh-CN"/>
      <w14:ligatures w14:val="standardContextual"/>
    </w:rPr>
  </w:style>
  <w:style w:type="character" w:customStyle="1" w:styleId="ZitatZchn">
    <w:name w:val="Zitat Zchn"/>
    <w:basedOn w:val="Absatz-Standardschriftart"/>
    <w:link w:val="Zitat"/>
    <w:uiPriority w:val="29"/>
    <w:rsid w:val="00335F8E"/>
    <w:rPr>
      <w:i/>
      <w:iCs/>
      <w:color w:val="404040" w:themeColor="text1" w:themeTint="BF"/>
    </w:rPr>
  </w:style>
  <w:style w:type="paragraph" w:styleId="Listenabsatz">
    <w:name w:val="List Paragraph"/>
    <w:basedOn w:val="Standard"/>
    <w:uiPriority w:val="34"/>
    <w:qFormat/>
    <w:rsid w:val="00335F8E"/>
    <w:pPr>
      <w:spacing w:after="160" w:line="278" w:lineRule="auto"/>
      <w:ind w:left="720"/>
      <w:contextualSpacing/>
      <w:jc w:val="left"/>
    </w:pPr>
    <w:rPr>
      <w:rFonts w:asciiTheme="minorHAnsi" w:eastAsiaTheme="minorEastAsia" w:hAnsiTheme="minorHAnsi"/>
      <w:kern w:val="2"/>
      <w:szCs w:val="24"/>
      <w:lang w:eastAsia="zh-CN"/>
      <w14:ligatures w14:val="standardContextual"/>
    </w:rPr>
  </w:style>
  <w:style w:type="character" w:styleId="IntensiveHervorhebung">
    <w:name w:val="Intense Emphasis"/>
    <w:basedOn w:val="Absatz-Standardschriftart"/>
    <w:uiPriority w:val="21"/>
    <w:qFormat/>
    <w:rsid w:val="00335F8E"/>
    <w:rPr>
      <w:i/>
      <w:iCs/>
      <w:color w:val="0F4761" w:themeColor="accent1" w:themeShade="BF"/>
    </w:rPr>
  </w:style>
  <w:style w:type="paragraph" w:styleId="IntensivesZitat">
    <w:name w:val="Intense Quote"/>
    <w:basedOn w:val="Standard"/>
    <w:next w:val="Standard"/>
    <w:link w:val="IntensivesZitatZchn"/>
    <w:uiPriority w:val="30"/>
    <w:qFormat/>
    <w:rsid w:val="00335F8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EastAsia" w:hAnsiTheme="minorHAnsi"/>
      <w:i/>
      <w:iCs/>
      <w:color w:val="0F4761" w:themeColor="accent1" w:themeShade="BF"/>
      <w:kern w:val="2"/>
      <w:szCs w:val="24"/>
      <w:lang w:eastAsia="zh-CN"/>
      <w14:ligatures w14:val="standardContextual"/>
    </w:rPr>
  </w:style>
  <w:style w:type="character" w:customStyle="1" w:styleId="IntensivesZitatZchn">
    <w:name w:val="Intensives Zitat Zchn"/>
    <w:basedOn w:val="Absatz-Standardschriftart"/>
    <w:link w:val="IntensivesZitat"/>
    <w:uiPriority w:val="30"/>
    <w:rsid w:val="00335F8E"/>
    <w:rPr>
      <w:i/>
      <w:iCs/>
      <w:color w:val="0F4761" w:themeColor="accent1" w:themeShade="BF"/>
    </w:rPr>
  </w:style>
  <w:style w:type="character" w:styleId="IntensiverVerweis">
    <w:name w:val="Intense Reference"/>
    <w:basedOn w:val="Absatz-Standardschriftart"/>
    <w:uiPriority w:val="32"/>
    <w:qFormat/>
    <w:rsid w:val="00335F8E"/>
    <w:rPr>
      <w:b/>
      <w:bCs/>
      <w:smallCaps/>
      <w:color w:val="0F4761" w:themeColor="accent1" w:themeShade="BF"/>
      <w:spacing w:val="5"/>
    </w:rPr>
  </w:style>
  <w:style w:type="paragraph" w:styleId="Kopfzeile">
    <w:name w:val="header"/>
    <w:basedOn w:val="Standard"/>
    <w:link w:val="KopfzeileZchn"/>
    <w:uiPriority w:val="99"/>
    <w:unhideWhenUsed/>
    <w:rsid w:val="00AC124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AC1244"/>
    <w:rPr>
      <w:rFonts w:ascii="Times New Roman" w:eastAsiaTheme="minorHAnsi" w:hAnsi="Times New Roman"/>
      <w:kern w:val="0"/>
      <w:szCs w:val="22"/>
      <w:lang w:eastAsia="en-US"/>
      <w14:ligatures w14:val="none"/>
    </w:rPr>
  </w:style>
  <w:style w:type="paragraph" w:styleId="Fuzeile">
    <w:name w:val="footer"/>
    <w:basedOn w:val="Standard"/>
    <w:link w:val="FuzeileZchn"/>
    <w:uiPriority w:val="99"/>
    <w:unhideWhenUsed/>
    <w:rsid w:val="00AC124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AC1244"/>
    <w:rPr>
      <w:rFonts w:ascii="Times New Roman" w:eastAsiaTheme="minorHAnsi" w:hAnsi="Times New Roman"/>
      <w:kern w:val="0"/>
      <w:szCs w:val="22"/>
      <w:lang w:eastAsia="en-US"/>
      <w14:ligatures w14:val="none"/>
    </w:rPr>
  </w:style>
  <w:style w:type="character" w:customStyle="1" w:styleId="EndNoteBibliographyZchn">
    <w:name w:val="EndNote Bibliography Zchn"/>
    <w:basedOn w:val="Absatz-Standardschriftart"/>
    <w:link w:val="EndNoteBibliography"/>
    <w:locked/>
    <w:rsid w:val="00AC1244"/>
    <w:rPr>
      <w:rFonts w:ascii="Calibri" w:hAnsi="Calibri" w:cs="Calibri"/>
      <w:noProof/>
      <w:lang w:val="en-US"/>
    </w:rPr>
  </w:style>
  <w:style w:type="paragraph" w:customStyle="1" w:styleId="EndNoteBibliography">
    <w:name w:val="EndNote Bibliography"/>
    <w:basedOn w:val="Standard"/>
    <w:link w:val="EndNoteBibliographyZchn"/>
    <w:rsid w:val="00AC1244"/>
    <w:pPr>
      <w:spacing w:after="160" w:line="240" w:lineRule="auto"/>
      <w:jc w:val="left"/>
    </w:pPr>
    <w:rPr>
      <w:rFonts w:ascii="Calibri" w:eastAsiaTheme="minorEastAsia" w:hAnsi="Calibri" w:cs="Calibri"/>
      <w:noProof/>
      <w:kern w:val="2"/>
      <w:szCs w:val="24"/>
      <w:lang w:val="en-US" w:eastAsia="zh-CN"/>
      <w14:ligatures w14:val="standardContextual"/>
    </w:rPr>
  </w:style>
  <w:style w:type="table" w:styleId="Tabellenraster">
    <w:name w:val="Table Grid"/>
    <w:basedOn w:val="NormaleTabelle"/>
    <w:uiPriority w:val="39"/>
    <w:rsid w:val="00AC12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4665529">
      <w:bodyDiv w:val="1"/>
      <w:marLeft w:val="0"/>
      <w:marRight w:val="0"/>
      <w:marTop w:val="0"/>
      <w:marBottom w:val="0"/>
      <w:divBdr>
        <w:top w:val="none" w:sz="0" w:space="0" w:color="auto"/>
        <w:left w:val="none" w:sz="0" w:space="0" w:color="auto"/>
        <w:bottom w:val="none" w:sz="0" w:space="0" w:color="auto"/>
        <w:right w:val="none" w:sz="0" w:space="0" w:color="auto"/>
      </w:divBdr>
    </w:div>
    <w:div w:id="1823932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3.xml"/><Relationship Id="rId5" Type="http://schemas.openxmlformats.org/officeDocument/2006/relationships/footnotes" Target="footnotes.xm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66ebf5f561be30d34b7a92e70ad66057">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559148f9941e44eed5ab2a676c7f46b9"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07D2E1B4-2D30-4B04-A874-C999D3D47562}"/>
</file>

<file path=customXml/itemProps2.xml><?xml version="1.0" encoding="utf-8"?>
<ds:datastoreItem xmlns:ds="http://schemas.openxmlformats.org/officeDocument/2006/customXml" ds:itemID="{75A50746-636A-4DC6-B4AC-2786B9BF0BBC}"/>
</file>

<file path=customXml/itemProps3.xml><?xml version="1.0" encoding="utf-8"?>
<ds:datastoreItem xmlns:ds="http://schemas.openxmlformats.org/officeDocument/2006/customXml" ds:itemID="{FBAE83DC-B85E-4029-8020-9C1A873305C4}"/>
</file>

<file path=docProps/app.xml><?xml version="1.0" encoding="utf-8"?>
<Properties xmlns="http://schemas.openxmlformats.org/officeDocument/2006/extended-properties" xmlns:vt="http://schemas.openxmlformats.org/officeDocument/2006/docPropsVTypes">
  <Template>Normal</Template>
  <TotalTime>0</TotalTime>
  <Pages>5</Pages>
  <Words>1704</Words>
  <Characters>10738</Characters>
  <Application>Microsoft Office Word</Application>
  <DocSecurity>0</DocSecurity>
  <Lines>89</Lines>
  <Paragraphs>24</Paragraphs>
  <ScaleCrop>false</ScaleCrop>
  <Company/>
  <LinksUpToDate>false</LinksUpToDate>
  <CharactersWithSpaces>12418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Jörg.Mahlich</dc:creator>
  <cp:keywords/>
  <dc:description/>
  <cp:lastModifiedBy>Jörg.Mahlich</cp:lastModifiedBy>
  <cp:revision>5</cp:revision>
  <dcterms:created xsi:type="dcterms:W3CDTF">2026-01-30T17:20:00Z</dcterms:created>
  <dcterms:modified xsi:type="dcterms:W3CDTF">2026-02-01T11:57:00Z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